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4070" w:rsidRPr="007D6B7B" w14:paraId="78E56FB0" w14:textId="77777777" w:rsidTr="00440B83">
        <w:trPr>
          <w:trHeight w:val="561"/>
        </w:trPr>
        <w:tc>
          <w:tcPr>
            <w:tcW w:w="9628" w:type="dxa"/>
            <w:shd w:val="clear" w:color="auto" w:fill="0C4D2F"/>
            <w:vAlign w:val="center"/>
          </w:tcPr>
          <w:p w14:paraId="7F22E62E" w14:textId="4A432CAE" w:rsidR="00964070" w:rsidRPr="00BF5E67" w:rsidRDefault="00050492" w:rsidP="00BF5E67">
            <w:pPr>
              <w:pStyle w:val="Overskrift1"/>
              <w:rPr>
                <w:rFonts w:asciiTheme="minorHAnsi" w:hAnsiTheme="minorHAnsi"/>
                <w:b/>
                <w:bCs/>
                <w:lang w:val="da-DK"/>
              </w:rPr>
            </w:pPr>
            <w:r w:rsidRPr="00BF5E67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  <w:lang w:val="da-DK"/>
              </w:rPr>
              <w:t>Spørgeguide til vurdering af væsentlighed</w:t>
            </w:r>
          </w:p>
        </w:tc>
      </w:tr>
      <w:tr w:rsidR="00B0149C" w:rsidRPr="007D6B7B" w14:paraId="72D9E465" w14:textId="77777777" w:rsidTr="00440B83">
        <w:trPr>
          <w:trHeight w:val="561"/>
        </w:trPr>
        <w:tc>
          <w:tcPr>
            <w:tcW w:w="9628" w:type="dxa"/>
            <w:vAlign w:val="center"/>
          </w:tcPr>
          <w:p w14:paraId="4EA2A52A" w14:textId="77777777" w:rsidR="00BF5E67" w:rsidRDefault="00BF5E67" w:rsidP="00661687">
            <w:pPr>
              <w:rPr>
                <w:rFonts w:ascii="Aptos Body" w:hAnsi="Aptos Body" w:cs="Sans Serif Collection"/>
                <w:b/>
                <w:bCs/>
                <w:sz w:val="22"/>
                <w:szCs w:val="22"/>
                <w:lang w:val="da-DK"/>
              </w:rPr>
            </w:pPr>
          </w:p>
          <w:p w14:paraId="301D52A2" w14:textId="40711E42" w:rsidR="00B0149C" w:rsidRPr="007434DF" w:rsidRDefault="00DD29F6" w:rsidP="00BF5E67">
            <w:pPr>
              <w:pStyle w:val="Overskrift2"/>
              <w:rPr>
                <w:lang w:val="da-DK"/>
              </w:rPr>
            </w:pPr>
            <w:r w:rsidRPr="007434DF">
              <w:rPr>
                <w:lang w:val="da-DK"/>
              </w:rPr>
              <w:t>Læsevejledning</w:t>
            </w:r>
          </w:p>
          <w:p w14:paraId="697DC338" w14:textId="1159C7FE" w:rsidR="00440B83" w:rsidRPr="007434DF" w:rsidRDefault="00607804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En hurtig, konsistent og dokumenteret vurdering af hæn</w:t>
            </w:r>
            <w:r w:rsidR="00A72C46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delser er afgørende for kommunens evne til at beskytte drift, borgere og data, og for at kunne </w:t>
            </w:r>
            <w:r w:rsidR="00FB228D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efterleve</w:t>
            </w:r>
            <w:r w:rsidR="00A72C46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NIS2-lovens krav om rettidig underretning.</w:t>
            </w:r>
            <w:r w:rsidR="00952B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Denne spørgeguide er udviklet som et operationelt værktøj til det centrale team, der har ansvaret for at modtage, vurdere o</w:t>
            </w:r>
            <w:r w:rsidR="00014A0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g håndtere hændelser på tværs af kommunen.</w:t>
            </w:r>
          </w:p>
          <w:p w14:paraId="37EE01CB" w14:textId="77777777" w:rsidR="00607804" w:rsidRPr="007434DF" w:rsidRDefault="00607804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449AA455" w14:textId="287BBC79" w:rsidR="000F23E9" w:rsidRPr="007434DF" w:rsidRDefault="00F11500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Spørge</w:t>
            </w:r>
            <w:r w:rsidR="003F1890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g</w:t>
            </w:r>
            <w:r w:rsidR="000F23E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uiden understøtter både den akutte vurdering af om en hændelse kan være væsentlig</w:t>
            </w:r>
            <w:r w:rsidR="003E084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efter NIS2-lovens § 12, dvs. om den kan have betydelig indvirken på leveringen af kommunale tjenester, datasikkerhed eller borgernes rettigheder</w:t>
            </w:r>
            <w:r w:rsidR="00DD099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. D</w:t>
            </w:r>
            <w:r w:rsidR="000F23E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en efterfølgende </w:t>
            </w:r>
            <w:r w:rsidR="00E3415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uddybende analyse </w:t>
            </w:r>
            <w:r w:rsidR="0066601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kan </w:t>
            </w:r>
            <w:r w:rsidR="00E3415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danne grundlag for </w:t>
            </w:r>
            <w:r w:rsidR="0066601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videre vurdering, </w:t>
            </w:r>
            <w:r w:rsidR="00E3415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håndtering</w:t>
            </w:r>
            <w:r w:rsidR="001A26D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og</w:t>
            </w:r>
            <w:r w:rsidR="00766B38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E3415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dokumentation </w:t>
            </w:r>
            <w:r w:rsidR="00766B38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jf.</w:t>
            </w:r>
            <w:r w:rsidR="0047533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E3415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de forskellige trin i myndighedsunderretningen. </w:t>
            </w:r>
            <w:r w:rsidR="003F1890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Guiden</w:t>
            </w:r>
            <w:r w:rsidR="00E3415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sikrer, at vurderinger </w:t>
            </w:r>
            <w:r w:rsidR="004464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foretages på et ensartet, risikobaseret og sporbart grundlag, uanset hvem i teamet de</w:t>
            </w:r>
            <w:r w:rsidR="00FF7008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r</w:t>
            </w:r>
            <w:r w:rsidR="004464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udfører</w:t>
            </w:r>
            <w:r w:rsidR="004464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vurderingen, og uanset hvilken type hændelse der er tale om.</w:t>
            </w:r>
          </w:p>
          <w:p w14:paraId="444DD654" w14:textId="77777777" w:rsidR="00607804" w:rsidRPr="007434DF" w:rsidRDefault="00607804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562C319B" w14:textId="26FB220A" w:rsidR="003E0841" w:rsidRPr="007434DF" w:rsidRDefault="00440B83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Spørgeguiden</w:t>
            </w:r>
            <w:r w:rsidR="004464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s 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2 </w:t>
            </w:r>
            <w:r w:rsidR="00706C26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komplementære 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dele</w:t>
            </w:r>
            <w:r w:rsidR="002E47B6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135F8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udgør</w:t>
            </w:r>
            <w:r w:rsidR="004464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tilsammen</w:t>
            </w:r>
            <w:r w:rsidR="00135F8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534C1B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en </w:t>
            </w:r>
            <w:r w:rsidR="00135F8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ramme for vurdering af hændelsers kritikalitet.</w:t>
            </w:r>
          </w:p>
          <w:p w14:paraId="7E114AA2" w14:textId="77777777" w:rsidR="00630B33" w:rsidRPr="007434DF" w:rsidRDefault="00630B33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3ADB6F72" w14:textId="79B56F05" w:rsidR="003B0B28" w:rsidRPr="007434DF" w:rsidRDefault="003B0B28" w:rsidP="001743B2">
            <w:pPr>
              <w:pStyle w:val="Overskrift2"/>
              <w:rPr>
                <w:lang w:val="da-DK"/>
              </w:rPr>
            </w:pPr>
            <w:r w:rsidRPr="007434DF">
              <w:rPr>
                <w:lang w:val="da-DK"/>
              </w:rPr>
              <w:t>Anvendelse</w:t>
            </w:r>
          </w:p>
          <w:p w14:paraId="75952D0A" w14:textId="070B99B7" w:rsidR="00630B33" w:rsidRPr="007434DF" w:rsidRDefault="00630B33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Da kommunerne er forskellige i organisering og kapacitet</w:t>
            </w:r>
            <w:r w:rsidR="00F24336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skal det vurderes om spørgeguiden skal </w:t>
            </w:r>
            <w:r w:rsidR="002E686C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anvendes</w:t>
            </w:r>
            <w:r w:rsidR="00F24336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i sin helhed eller om det giver større værdi at udvælge dele af spørgeguiden og indarbejde </w:t>
            </w:r>
            <w:r w:rsidR="001F28E5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dem i kommunens hændelseshåndteringsproces. Det skal bero på en individuel vurdering, der tager hensyn til </w:t>
            </w:r>
            <w:r w:rsidR="00F92DBD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organisering og fordeling af roller og ansvar.</w:t>
            </w:r>
          </w:p>
          <w:p w14:paraId="46943760" w14:textId="77777777" w:rsidR="003B0B28" w:rsidRPr="007434DF" w:rsidRDefault="003B0B28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0F784D19" w14:textId="7DC17790" w:rsidR="008C636C" w:rsidRPr="007434DF" w:rsidRDefault="008C636C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Hensigten med spørgeguiden er at den skal anvendes</w:t>
            </w:r>
            <w:r w:rsidR="00711B9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som inspiration til eller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i sammenhæng med </w:t>
            </w:r>
            <w:r w:rsidR="00711B9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kommunens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interne hændelsesrapporteringsskabelon</w:t>
            </w:r>
            <w:r w:rsidR="00711B9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.</w:t>
            </w:r>
            <w:r w:rsidR="00D16E6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Spørgeguiden kan i sin helhed være et parallelt </w:t>
            </w:r>
            <w:r w:rsidR="008742D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hjælpe</w:t>
            </w:r>
            <w:r w:rsidR="00D16E6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dokument eller den kan indarbejdes i den allerede eksisterende rapporteringsskabelon.</w:t>
            </w:r>
          </w:p>
          <w:p w14:paraId="493002D1" w14:textId="77777777" w:rsidR="008C636C" w:rsidRPr="007434DF" w:rsidRDefault="008C636C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2DB2C5FA" w14:textId="7C58B052" w:rsidR="00F03BD6" w:rsidRPr="007434DF" w:rsidRDefault="00BB6894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Spørgeguiden er som udgangspunkt henvendt til </w:t>
            </w:r>
            <w:r w:rsidR="009553D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centrale teams, der har kompetencer og forudsætninger for at vurdere hændelsers væsentlighed. </w:t>
            </w:r>
            <w:r w:rsidR="00F9748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Den enkelte kommune bør vurder</w:t>
            </w:r>
            <w:r w:rsidR="00A85BB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e,</w:t>
            </w:r>
            <w:r w:rsidR="00F9748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om det</w:t>
            </w:r>
            <w:r w:rsidR="00A85BB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te</w:t>
            </w:r>
            <w:r w:rsidR="00F9748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passer ind organiseringen af hændelseshåndtering</w:t>
            </w:r>
            <w:r w:rsidR="0098640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,</w:t>
            </w:r>
            <w:r w:rsidR="0099618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eller om </w:t>
            </w:r>
            <w:r w:rsidR="00F9748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der </w:t>
            </w:r>
            <w:r w:rsidR="0098640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er</w:t>
            </w:r>
            <w:r w:rsidR="00F9748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b</w:t>
            </w:r>
            <w:r w:rsidR="0099618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ehov</w:t>
            </w:r>
            <w:r w:rsidR="00F9748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for at dele spørgeguiden yderligere op og tildele specifikke roller </w:t>
            </w:r>
            <w:r w:rsidR="00A85BB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ansvar for dele af spørgeguiden.</w:t>
            </w:r>
          </w:p>
          <w:p w14:paraId="47481F64" w14:textId="77777777" w:rsidR="007D68F4" w:rsidRPr="007434DF" w:rsidRDefault="007D68F4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3734C9AE" w14:textId="6E4643C8" w:rsidR="00F14AB5" w:rsidRPr="007434DF" w:rsidRDefault="00163166" w:rsidP="001743B2">
            <w:pPr>
              <w:pStyle w:val="Overskrift2"/>
              <w:rPr>
                <w:lang w:val="da-DK"/>
              </w:rPr>
            </w:pPr>
            <w:r w:rsidRPr="007434DF">
              <w:rPr>
                <w:lang w:val="da-DK"/>
              </w:rPr>
              <w:t>Hjælpetekst</w:t>
            </w:r>
          </w:p>
          <w:p w14:paraId="31AFDB11" w14:textId="25940CEB" w:rsidR="00BD7881" w:rsidRPr="007434DF" w:rsidRDefault="00BD7881" w:rsidP="00BD7881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7434DF">
              <w:rPr>
                <w:rFonts w:ascii="Calibri" w:hAnsi="Calibri" w:cs="Calibri"/>
                <w:sz w:val="22"/>
                <w:szCs w:val="22"/>
                <w:lang w:val="da-DK"/>
              </w:rPr>
              <w:t xml:space="preserve">Tekst angivet i </w:t>
            </w:r>
            <w:r w:rsidRPr="007434DF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kursiv </w:t>
            </w:r>
            <w:r w:rsidRPr="007434DF">
              <w:rPr>
                <w:rFonts w:ascii="Calibri" w:hAnsi="Calibri" w:cs="Calibri"/>
                <w:sz w:val="22"/>
                <w:szCs w:val="22"/>
                <w:lang w:val="da-DK"/>
              </w:rPr>
              <w:t>er vejledende tekst</w:t>
            </w:r>
          </w:p>
          <w:p w14:paraId="5DC47C30" w14:textId="4C313BFD" w:rsidR="00135F87" w:rsidRPr="007434DF" w:rsidRDefault="00BD7881" w:rsidP="00661687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7434DF">
              <w:rPr>
                <w:rFonts w:ascii="Calibri" w:hAnsi="Calibri" w:cs="Calibri"/>
                <w:sz w:val="22"/>
                <w:szCs w:val="22"/>
                <w:lang w:val="da-DK"/>
              </w:rPr>
              <w:t xml:space="preserve">Tekst anført med </w:t>
            </w:r>
            <w:r w:rsidRPr="007434DF">
              <w:rPr>
                <w:rFonts w:ascii="Calibri" w:hAnsi="Calibri" w:cs="Calibri"/>
                <w:sz w:val="22"/>
                <w:szCs w:val="22"/>
                <w:highlight w:val="lightGray"/>
                <w:lang w:val="da-DK"/>
              </w:rPr>
              <w:t>grå markering</w:t>
            </w:r>
            <w:r w:rsidRPr="007434DF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i () angiver punkter, der skal udfyldes</w:t>
            </w:r>
          </w:p>
          <w:p w14:paraId="7D1BE09C" w14:textId="77777777" w:rsidR="00BD7881" w:rsidRPr="007434DF" w:rsidRDefault="00BD7881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0A9AB996" w14:textId="461EB7A3" w:rsidR="00163166" w:rsidRPr="007434DF" w:rsidRDefault="00163166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Begge dele </w:t>
            </w:r>
            <w:r w:rsidR="003B1F7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bør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slettes, når skabelonen anvendes.</w:t>
            </w:r>
          </w:p>
          <w:p w14:paraId="65ABEDAF" w14:textId="77777777" w:rsidR="00163166" w:rsidRPr="007434DF" w:rsidRDefault="00163166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4B38DEE5" w14:textId="6D4294E6" w:rsidR="00FB228D" w:rsidRPr="007434DF" w:rsidRDefault="00440B83" w:rsidP="001743B2">
            <w:pPr>
              <w:pStyle w:val="Overskrift2"/>
              <w:rPr>
                <w:lang w:val="da-DK"/>
              </w:rPr>
            </w:pPr>
            <w:r w:rsidRPr="007434DF">
              <w:rPr>
                <w:lang w:val="da-DK"/>
              </w:rPr>
              <w:t>Del 1</w:t>
            </w:r>
            <w:r w:rsidR="00EA0172" w:rsidRPr="007434DF">
              <w:rPr>
                <w:lang w:val="da-DK"/>
              </w:rPr>
              <w:t>:</w:t>
            </w:r>
            <w:r w:rsidR="00FE4B7F" w:rsidRPr="007434DF">
              <w:rPr>
                <w:lang w:val="da-DK"/>
              </w:rPr>
              <w:t xml:space="preserve"> første vurdering</w:t>
            </w:r>
          </w:p>
          <w:p w14:paraId="1F6BCBB8" w14:textId="7678D0C8" w:rsidR="00FB228D" w:rsidRPr="007434DF" w:rsidRDefault="00FB228D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Denne del anvendes </w:t>
            </w:r>
            <w:r w:rsidR="004B0FA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straks</w:t>
            </w:r>
            <w:r w:rsidR="00F653A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efter, at </w:t>
            </w:r>
            <w:r w:rsidR="0053251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en hændelse er modtaget. Formålet er at skabe et hurtigt og kvalificeret beslutningsgrundlag for</w:t>
            </w:r>
            <w:r w:rsidR="00452F6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,</w:t>
            </w:r>
            <w:r w:rsidR="0053251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om en hændelse kan være væsentlig</w:t>
            </w:r>
            <w:r w:rsidR="000705A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og</w:t>
            </w:r>
            <w:r w:rsidR="0053251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F93D4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dermed</w:t>
            </w:r>
            <w:r w:rsidR="0053251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kræver </w:t>
            </w:r>
            <w:r w:rsidR="0033107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eskalation</w:t>
            </w:r>
            <w:r w:rsidR="0053251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og underretning</w:t>
            </w:r>
            <w:r w:rsidR="0033107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inden for NIS2-lovens tidsfrister</w:t>
            </w:r>
            <w:r w:rsidR="0053251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.</w:t>
            </w:r>
          </w:p>
          <w:p w14:paraId="0313D92C" w14:textId="77777777" w:rsidR="00D75679" w:rsidRPr="007434DF" w:rsidRDefault="00D75679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57E4A652" w14:textId="7090EE53" w:rsidR="00331071" w:rsidRPr="007434DF" w:rsidRDefault="002B5E54" w:rsidP="00661687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De</w:t>
            </w:r>
            <w:r w:rsidR="00FE4B7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l 1 består af korte ja/nej spørgsmål inden for 5 områder:</w:t>
            </w:r>
          </w:p>
          <w:p w14:paraId="21F9FC46" w14:textId="77777777" w:rsidR="00FE4B7F" w:rsidRPr="007434DF" w:rsidRDefault="00FE4B7F" w:rsidP="00FE4B7F">
            <w:pPr>
              <w:pStyle w:val="Listeafsnit"/>
              <w:numPr>
                <w:ilvl w:val="0"/>
                <w:numId w:val="3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Driftsforstyrrelser</w:t>
            </w:r>
          </w:p>
          <w:p w14:paraId="1D9C9146" w14:textId="77777777" w:rsidR="00FE4B7F" w:rsidRPr="007434DF" w:rsidRDefault="00FE4B7F" w:rsidP="00FE4B7F">
            <w:pPr>
              <w:pStyle w:val="Listeafsnit"/>
              <w:numPr>
                <w:ilvl w:val="0"/>
                <w:numId w:val="3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Påvirkning af borgere</w:t>
            </w:r>
          </w:p>
          <w:p w14:paraId="276772B6" w14:textId="77777777" w:rsidR="00FE4B7F" w:rsidRPr="007434DF" w:rsidRDefault="00FE4B7F" w:rsidP="00FE4B7F">
            <w:pPr>
              <w:pStyle w:val="Listeafsnit"/>
              <w:numPr>
                <w:ilvl w:val="0"/>
                <w:numId w:val="3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Påvirkning af data</w:t>
            </w:r>
          </w:p>
          <w:p w14:paraId="6D19C59C" w14:textId="77777777" w:rsidR="00FE4B7F" w:rsidRPr="007434DF" w:rsidRDefault="00FE4B7F" w:rsidP="00FE4B7F">
            <w:pPr>
              <w:pStyle w:val="Listeafsnit"/>
              <w:numPr>
                <w:ilvl w:val="0"/>
                <w:numId w:val="3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lastRenderedPageBreak/>
              <w:t>Økonomiske konsekvenser</w:t>
            </w:r>
          </w:p>
          <w:p w14:paraId="666DC79B" w14:textId="77777777" w:rsidR="00FE4B7F" w:rsidRPr="007434DF" w:rsidRDefault="00FE4B7F" w:rsidP="00FE4B7F">
            <w:pPr>
              <w:pStyle w:val="Listeafsnit"/>
              <w:numPr>
                <w:ilvl w:val="0"/>
                <w:numId w:val="3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Leverandørpåvirkning</w:t>
            </w:r>
          </w:p>
          <w:p w14:paraId="78975F7A" w14:textId="77777777" w:rsidR="00FE4B7F" w:rsidRPr="007434DF" w:rsidRDefault="00FE4B7F" w:rsidP="00FE4B7F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68584A45" w14:textId="266E1AA7" w:rsidR="00D75679" w:rsidRPr="007434DF" w:rsidRDefault="00D75679" w:rsidP="00FE4B7F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Hvis ét eller flere spørgsmål</w:t>
            </w:r>
            <w:r w:rsidR="00510AB3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indikerer væsentlig påvirkning</w:t>
            </w:r>
            <w:r w:rsidR="00516B23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F93D4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skal kommunen træffe beslutning om en eventuel underretning</w:t>
            </w:r>
            <w:r w:rsidR="007A43AE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(tidlig varsling indenfor 24 timer</w:t>
            </w:r>
            <w:r w:rsidR="004218C1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jf. NIS2-loven § 13, stk. 1, nr. 1</w:t>
            </w:r>
            <w:r w:rsidR="007A43AE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)</w:t>
            </w:r>
            <w:r w:rsidR="00F93D4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, og derefter gå videre til Del 2</w:t>
            </w:r>
            <w:r w:rsidR="00712F4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, der </w:t>
            </w:r>
            <w:r w:rsidR="00707740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anvendes til</w:t>
            </w:r>
            <w:r w:rsidR="00A94E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uddybende vurdering uagtet om </w:t>
            </w:r>
            <w:r w:rsidR="00712F4A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hændelsen</w:t>
            </w:r>
            <w:r w:rsidR="00A94E4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skal anmeldes.</w:t>
            </w:r>
          </w:p>
          <w:p w14:paraId="37EF0617" w14:textId="77777777" w:rsidR="00F93D4A" w:rsidRPr="007434DF" w:rsidRDefault="00F93D4A" w:rsidP="00FE4B7F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0DE2DD51" w14:textId="7CCF0B86" w:rsidR="00F93D4A" w:rsidRPr="007434DF" w:rsidRDefault="00F93D4A" w:rsidP="001743B2">
            <w:pPr>
              <w:pStyle w:val="Overskrift2"/>
              <w:rPr>
                <w:lang w:val="da-DK"/>
              </w:rPr>
            </w:pPr>
            <w:r w:rsidRPr="007434DF">
              <w:rPr>
                <w:lang w:val="da-DK"/>
              </w:rPr>
              <w:t>Del 2</w:t>
            </w:r>
            <w:r w:rsidR="00E149DF" w:rsidRPr="007434DF">
              <w:rPr>
                <w:lang w:val="da-DK"/>
              </w:rPr>
              <w:t>:</w:t>
            </w:r>
            <w:r w:rsidRPr="007434DF">
              <w:rPr>
                <w:lang w:val="da-DK"/>
              </w:rPr>
              <w:t xml:space="preserve"> Uddybende vurdering</w:t>
            </w:r>
          </w:p>
          <w:p w14:paraId="3A50BF65" w14:textId="587DF39D" w:rsidR="00F442D2" w:rsidRPr="007434DF" w:rsidRDefault="005048CA" w:rsidP="00F442D2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Denne del </w:t>
            </w:r>
            <w:r w:rsidR="00BB6E7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kan 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anvendes</w:t>
            </w:r>
            <w:r w:rsidR="008804B8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til yderligere vurdering</w:t>
            </w:r>
            <w:r w:rsidR="000323B8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og in</w:t>
            </w:r>
            <w:r w:rsidR="007836A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dsamling af information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. Formålet er at skabe et sporbar</w:t>
            </w:r>
            <w:r w:rsidR="00452F64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t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, dokumenteret og </w:t>
            </w:r>
            <w:proofErr w:type="spellStart"/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auditerbart</w:t>
            </w:r>
            <w:proofErr w:type="spellEnd"/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grundlag for:</w:t>
            </w:r>
          </w:p>
          <w:p w14:paraId="46CB57BD" w14:textId="77777777" w:rsidR="00F442D2" w:rsidRPr="007434DF" w:rsidRDefault="00F442D2" w:rsidP="00F442D2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36212726" w14:textId="0BF6C487" w:rsidR="00F442D2" w:rsidRPr="007434DF" w:rsidRDefault="005E04CE" w:rsidP="007C5A51">
            <w:pPr>
              <w:pStyle w:val="Listeafsnit"/>
              <w:numPr>
                <w:ilvl w:val="0"/>
                <w:numId w:val="5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H</w:t>
            </w:r>
            <w:r w:rsidR="0040047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ændelsesunderretning 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(</w:t>
            </w:r>
            <w:r w:rsidR="003F321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indenfor 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72 timer</w:t>
            </w:r>
            <w:r w:rsidR="0040047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)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, </w:t>
            </w:r>
            <w:r w:rsidR="00CA0B9D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endelig rapport </w:t>
            </w:r>
            <w:r w:rsidR="003F321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(</w:t>
            </w:r>
            <w:r w:rsidR="00720E65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indenfor 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1 måned</w:t>
            </w: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efter hændelsesunderretningen</w:t>
            </w:r>
            <w:r w:rsidR="00C41C6C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.</w:t>
            </w:r>
            <w:r w:rsidR="00BA43FD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Hvis hændelsen stadig ikke er afsluttet, når den endelige rapport skal fremsendes</w:t>
            </w:r>
            <w:r w:rsidR="00025EEC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, skal der indsendes en statusrapport. Den endelige rapport skal derefter sendes senest én måned efter, at hændelsen er fuldt håndteret </w:t>
            </w:r>
            <w:r w:rsidR="000E64D9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jf. NIS2-loven § 13, stk. 1, nr. 2</w:t>
            </w:r>
            <w:r w:rsidR="00D6651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, 4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)</w:t>
            </w:r>
          </w:p>
          <w:p w14:paraId="77688A7D" w14:textId="4F5F2C14" w:rsidR="00F442D2" w:rsidRPr="007434DF" w:rsidRDefault="00EB4E46" w:rsidP="00F442D2">
            <w:pPr>
              <w:pStyle w:val="Listeafsnit"/>
              <w:numPr>
                <w:ilvl w:val="0"/>
                <w:numId w:val="5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B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eslutninger om</w:t>
            </w:r>
            <w:r w:rsidR="00C8755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foranstaltninger</w:t>
            </w:r>
            <w:r w:rsidR="00714BDD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til håndtering af hændelsen</w:t>
            </w:r>
          </w:p>
          <w:p w14:paraId="5428AF4E" w14:textId="3141755F" w:rsidR="00F442D2" w:rsidRPr="007434DF" w:rsidRDefault="00EB4E46" w:rsidP="00F442D2">
            <w:pPr>
              <w:pStyle w:val="Listeafsnit"/>
              <w:numPr>
                <w:ilvl w:val="0"/>
                <w:numId w:val="5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K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oordinering med leverandører</w:t>
            </w:r>
          </w:p>
          <w:p w14:paraId="6D3FE9CE" w14:textId="43FE093D" w:rsidR="00F442D2" w:rsidRPr="007434DF" w:rsidRDefault="00EB4E46" w:rsidP="00F442D2">
            <w:pPr>
              <w:pStyle w:val="Listeafsnit"/>
              <w:numPr>
                <w:ilvl w:val="0"/>
                <w:numId w:val="5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O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pfølgning og læring</w:t>
            </w:r>
          </w:p>
          <w:p w14:paraId="47F98443" w14:textId="77777777" w:rsidR="00F442D2" w:rsidRPr="007434DF" w:rsidRDefault="00F442D2" w:rsidP="00F442D2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0F879824" w14:textId="6286BD38" w:rsidR="00F442D2" w:rsidRPr="007434DF" w:rsidRDefault="00F442D2" w:rsidP="00F442D2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Del 2 går i dybden med:</w:t>
            </w:r>
          </w:p>
          <w:p w14:paraId="57E44760" w14:textId="5B28D08F" w:rsidR="00F442D2" w:rsidRPr="007434DF" w:rsidRDefault="00EB4E46" w:rsidP="00F442D2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O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mfang og varighed</w:t>
            </w:r>
          </w:p>
          <w:p w14:paraId="01B5D381" w14:textId="74E06E3A" w:rsidR="00F442D2" w:rsidRPr="007434DF" w:rsidRDefault="00EB4E46" w:rsidP="00F442D2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B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erørte systemer, integrationer og afhængigheder</w:t>
            </w:r>
          </w:p>
          <w:p w14:paraId="361509B3" w14:textId="33010ADD" w:rsidR="00F442D2" w:rsidRPr="007434DF" w:rsidRDefault="00EB4E46" w:rsidP="00F442D2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P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åvirkning af borgere og samarbejdspartnere</w:t>
            </w:r>
          </w:p>
          <w:p w14:paraId="0D9CAD9D" w14:textId="114C4BE2" w:rsidR="00F442D2" w:rsidRPr="007434DF" w:rsidRDefault="00EB4E46" w:rsidP="00F442D2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Ø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konomiske konsekvenser</w:t>
            </w:r>
          </w:p>
          <w:p w14:paraId="06115D14" w14:textId="404A016A" w:rsidR="00F442D2" w:rsidRPr="007434DF" w:rsidRDefault="00EB4E46" w:rsidP="00F442D2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L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everandørkædens rolle og påvirkning</w:t>
            </w:r>
          </w:p>
          <w:p w14:paraId="47A7FD47" w14:textId="15D949E6" w:rsidR="00F442D2" w:rsidRPr="007434DF" w:rsidRDefault="00EB4E46" w:rsidP="00F442D2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T</w:t>
            </w:r>
            <w:r w:rsidR="00F442D2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ekniske og organisatoriske forhold</w:t>
            </w:r>
          </w:p>
          <w:p w14:paraId="39009E06" w14:textId="77777777" w:rsidR="00B332BB" w:rsidRPr="007434DF" w:rsidRDefault="00B332BB" w:rsidP="00714BDD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4EEA6876" w14:textId="77777777" w:rsidR="000D6470" w:rsidRPr="007434DF" w:rsidRDefault="00636988" w:rsidP="00714BDD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Når del </w:t>
            </w:r>
            <w:r w:rsidR="004E19B0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2 anvendes, kan det være værdiskabende, hvis vurderingen kobles til kommunens eksisterende arbejde med risikovurdering og forsyningskædesikkerhed. Afsnittet om risikovurdering i Drejebogen giver et fælles grundlag </w:t>
            </w:r>
            <w:r w:rsidR="00EF35E8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for at vurdere systemers og processers kritikalitet, hvilket understøtter flere af vurderingspunkterne i Del 2, særligt når der skal tages stilling til omfang, afhængigheder og potentielle kaskadeeffekter. Samtidig </w:t>
            </w:r>
            <w:r w:rsidR="00950CD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bidrager afsnittet om forsyningskædesikkerhed til en mere præcis vurdering af leverandørkædens rolle, påvirkning og eventuelle systemiske risici på tværs af sektoren.</w:t>
            </w:r>
          </w:p>
          <w:p w14:paraId="1C81E790" w14:textId="77777777" w:rsidR="00950CDF" w:rsidRPr="007434DF" w:rsidRDefault="00950CDF" w:rsidP="00714BDD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</w:p>
          <w:p w14:paraId="6658AC61" w14:textId="7792CEE2" w:rsidR="00950CDF" w:rsidRPr="007434DF" w:rsidRDefault="00950CDF" w:rsidP="00714BDD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Ved at </w:t>
            </w:r>
            <w:r w:rsidR="00680C2D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sammenkæde del 2 med disse to områder for det centrale team et mere helhedsorienteret beslutningsgrundlag. Det styrker</w:t>
            </w:r>
            <w:r w:rsidR="00900AF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både </w:t>
            </w:r>
            <w:r w:rsidR="007434D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kvaliteten</w:t>
            </w:r>
            <w:r w:rsidR="00900AF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af myndighedsunderretningerne og kommunens evne til at prioritere, koordinere og dokumentere håndteringen af hændelser, særligt i </w:t>
            </w:r>
            <w:r w:rsidR="007434D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situationer</w:t>
            </w:r>
            <w:r w:rsidR="00900AF7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>, hvor der er komplekse</w:t>
            </w:r>
            <w:r w:rsidR="007434DF" w:rsidRPr="007434DF">
              <w:rPr>
                <w:rFonts w:ascii="Aptos Body" w:hAnsi="Aptos Body" w:cs="Sans Serif Collection"/>
                <w:sz w:val="22"/>
                <w:szCs w:val="22"/>
                <w:lang w:val="da-DK"/>
              </w:rPr>
              <w:t xml:space="preserve"> afhængigheder eller risiko for bredere påvirkning gennem leverandørkæden.</w:t>
            </w:r>
          </w:p>
        </w:tc>
      </w:tr>
    </w:tbl>
    <w:p w14:paraId="7E27E387" w14:textId="4C787032" w:rsidR="00180680" w:rsidRDefault="00180680" w:rsidP="003529B8">
      <w:pPr>
        <w:rPr>
          <w:rFonts w:ascii="Aptos Body" w:hAnsi="Aptos Body"/>
          <w:lang w:val="da-DK"/>
        </w:rPr>
      </w:pPr>
    </w:p>
    <w:p w14:paraId="1D7AB25B" w14:textId="4E02B7DC" w:rsidR="00DE1B84" w:rsidRDefault="00DE1B84">
      <w:pPr>
        <w:rPr>
          <w:rFonts w:ascii="Aptos Body" w:hAnsi="Aptos Body"/>
          <w:lang w:val="da-DK"/>
        </w:rPr>
      </w:pPr>
      <w:r>
        <w:rPr>
          <w:rFonts w:ascii="Aptos Body" w:hAnsi="Aptos Body"/>
          <w:lang w:val="da-DK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106"/>
        <w:gridCol w:w="2312"/>
        <w:gridCol w:w="3210"/>
      </w:tblGrid>
      <w:tr w:rsidR="002D725A" w:rsidRPr="007D6B7B" w14:paraId="6F4D5DAF" w14:textId="77777777" w:rsidTr="005C319F">
        <w:tc>
          <w:tcPr>
            <w:tcW w:w="9628" w:type="dxa"/>
            <w:gridSpan w:val="3"/>
          </w:tcPr>
          <w:p w14:paraId="040718AD" w14:textId="77777777" w:rsidR="002D725A" w:rsidRPr="007434DF" w:rsidRDefault="00DC4078" w:rsidP="001743B2">
            <w:pPr>
              <w:pStyle w:val="Overskrift2"/>
              <w:rPr>
                <w:lang w:val="da-DK"/>
              </w:rPr>
            </w:pPr>
            <w:r w:rsidRPr="007434DF">
              <w:rPr>
                <w:lang w:val="da-DK"/>
              </w:rPr>
              <w:lastRenderedPageBreak/>
              <w:t>DEL 1 – første vurdering</w:t>
            </w:r>
          </w:p>
          <w:p w14:paraId="0486DEAB" w14:textId="77777777" w:rsidR="00DC4078" w:rsidRPr="007434DF" w:rsidRDefault="00DC4078" w:rsidP="002D725A">
            <w:pPr>
              <w:jc w:val="both"/>
              <w:rPr>
                <w:rFonts w:ascii="Aptos Body" w:hAnsi="Aptos Body"/>
                <w:sz w:val="22"/>
                <w:szCs w:val="22"/>
                <w:lang w:val="da-DK"/>
              </w:rPr>
            </w:pPr>
          </w:p>
          <w:p w14:paraId="2541FB2B" w14:textId="1302B4DB" w:rsidR="00DC4078" w:rsidRPr="007434DF" w:rsidRDefault="00DC4078" w:rsidP="002D725A">
            <w:pPr>
              <w:jc w:val="both"/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 xml:space="preserve">Formål: hurtigt vurdering </w:t>
            </w:r>
            <w:r w:rsidR="00570FCE"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til at afgøre, om hændelsen kan være væsentlig og kræver eskalation og eventuel underretning.</w:t>
            </w:r>
          </w:p>
        </w:tc>
      </w:tr>
      <w:tr w:rsidR="00570FCE" w:rsidRPr="007434DF" w14:paraId="2FE4891F" w14:textId="77777777" w:rsidTr="00791997">
        <w:tc>
          <w:tcPr>
            <w:tcW w:w="9628" w:type="dxa"/>
            <w:gridSpan w:val="3"/>
            <w:shd w:val="clear" w:color="auto" w:fill="0C4D2F"/>
          </w:tcPr>
          <w:p w14:paraId="0F2C41CA" w14:textId="2BE9C65A" w:rsidR="00570FCE" w:rsidRPr="007434DF" w:rsidRDefault="00570FCE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Grundlæggende identifikation</w:t>
            </w:r>
          </w:p>
        </w:tc>
      </w:tr>
      <w:tr w:rsidR="00EB6104" w:rsidRPr="007434DF" w14:paraId="14F20674" w14:textId="77777777" w:rsidTr="004E0835">
        <w:tc>
          <w:tcPr>
            <w:tcW w:w="4106" w:type="dxa"/>
          </w:tcPr>
          <w:p w14:paraId="6D6D4094" w14:textId="2C9B8402" w:rsidR="00EB6104" w:rsidRPr="007434DF" w:rsidRDefault="00EB6104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5522" w:type="dxa"/>
            <w:gridSpan w:val="2"/>
          </w:tcPr>
          <w:p w14:paraId="7E5EC680" w14:textId="0D6383AD" w:rsidR="00EB6104" w:rsidRPr="007434DF" w:rsidRDefault="00EB6104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</w:tr>
      <w:tr w:rsidR="00EB6104" w:rsidRPr="007D6B7B" w14:paraId="4A08ED77" w14:textId="77777777" w:rsidTr="004E0835">
        <w:tc>
          <w:tcPr>
            <w:tcW w:w="4106" w:type="dxa"/>
          </w:tcPr>
          <w:p w14:paraId="4A1EAF93" w14:textId="77777777" w:rsidR="00EB6104" w:rsidRPr="007434DF" w:rsidRDefault="00EB6104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Hvilken type hændelse er der tale om?</w:t>
            </w:r>
          </w:p>
          <w:p w14:paraId="2187C281" w14:textId="77777777" w:rsidR="00EB6104" w:rsidRPr="007434DF" w:rsidRDefault="00EB6104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F.eks. nedbrud, angreb, leverandørfejl</w:t>
            </w:r>
            <w:r w:rsidR="006F498E" w:rsidRPr="007434DF">
              <w:rPr>
                <w:rFonts w:ascii="Aptos Body" w:hAnsi="Aptos Body"/>
                <w:sz w:val="22"/>
                <w:szCs w:val="22"/>
                <w:lang w:val="da-DK"/>
              </w:rPr>
              <w:t>.</w:t>
            </w:r>
          </w:p>
          <w:p w14:paraId="23EE3DA0" w14:textId="464C3165" w:rsidR="00D1540C" w:rsidRPr="007434DF" w:rsidRDefault="000F13B9" w:rsidP="003529B8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Her er der typisk tale om et første skøn, og ikke nødvendigvis en endelig konklusion.</w:t>
            </w:r>
          </w:p>
        </w:tc>
        <w:tc>
          <w:tcPr>
            <w:tcW w:w="5522" w:type="dxa"/>
            <w:gridSpan w:val="2"/>
          </w:tcPr>
          <w:p w14:paraId="52336DA5" w14:textId="5A5D99E0" w:rsidR="00EB6104" w:rsidRPr="007434DF" w:rsidRDefault="00F14AB5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(</w:t>
            </w:r>
            <w:r w:rsidR="008B2DA0"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I</w:t>
            </w:r>
            <w:r w:rsidR="00EB6104"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ndsæt kort beskrivelse</w:t>
            </w:r>
            <w:r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)</w:t>
            </w:r>
          </w:p>
          <w:p w14:paraId="092EE2DB" w14:textId="77777777" w:rsidR="00E0672D" w:rsidRPr="007434DF" w:rsidRDefault="00E0672D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</w:p>
          <w:p w14:paraId="2AD154B0" w14:textId="319AA5D5" w:rsidR="00E0672D" w:rsidRPr="007434DF" w:rsidRDefault="003B4838" w:rsidP="003529B8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Overvej følgende:</w:t>
            </w:r>
          </w:p>
          <w:p w14:paraId="55B717D6" w14:textId="13821DBF" w:rsidR="003B4838" w:rsidRPr="007434DF" w:rsidRDefault="003B4838" w:rsidP="003B4838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Er hændelsen fortsat aktiv?</w:t>
            </w:r>
          </w:p>
          <w:p w14:paraId="306E6CFE" w14:textId="77777777" w:rsidR="003B4838" w:rsidRPr="007434DF" w:rsidRDefault="003B4838" w:rsidP="003529B8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Er der tegn på en aktiv trussel?</w:t>
            </w:r>
          </w:p>
          <w:p w14:paraId="06B432AE" w14:textId="0189881C" w:rsidR="00B4469E" w:rsidRPr="007434DF" w:rsidRDefault="00B4469E" w:rsidP="003529B8">
            <w:pPr>
              <w:pStyle w:val="Listeafsnit"/>
              <w:numPr>
                <w:ilvl w:val="0"/>
                <w:numId w:val="6"/>
              </w:num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Har man brug for hjælp</w:t>
            </w:r>
            <w:r w:rsidR="003B4838"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 xml:space="preserve"> – intern eller ekstern</w:t>
            </w: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?</w:t>
            </w:r>
          </w:p>
        </w:tc>
      </w:tr>
      <w:tr w:rsidR="00715FFB" w:rsidRPr="007D6B7B" w14:paraId="7B737184" w14:textId="77777777" w:rsidTr="004E0835">
        <w:tc>
          <w:tcPr>
            <w:tcW w:w="4106" w:type="dxa"/>
          </w:tcPr>
          <w:p w14:paraId="50C356E1" w14:textId="12C329E9" w:rsidR="00715FFB" w:rsidRPr="007434DF" w:rsidRDefault="00715FFB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Hvilke</w:t>
            </w:r>
            <w:r w:rsidR="00FE6689" w:rsidRPr="007434DF">
              <w:rPr>
                <w:rFonts w:ascii="Aptos Body" w:hAnsi="Aptos Body"/>
                <w:color w:val="EE0000"/>
                <w:sz w:val="22"/>
                <w:szCs w:val="22"/>
                <w:lang w:val="da-DK"/>
              </w:rPr>
              <w:t xml:space="preserve"> </w:t>
            </w:r>
            <w:r w:rsidR="00FE6689" w:rsidRPr="007434DF">
              <w:rPr>
                <w:rFonts w:ascii="Aptos Body" w:hAnsi="Aptos Body"/>
                <w:sz w:val="22"/>
                <w:szCs w:val="22"/>
                <w:lang w:val="da-DK"/>
              </w:rPr>
              <w:t>af kommunens</w:t>
            </w: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 tjenester eller systemer er berørt?</w:t>
            </w:r>
          </w:p>
          <w:p w14:paraId="538AC72B" w14:textId="0D0D749A" w:rsidR="00715FFB" w:rsidRPr="007434DF" w:rsidRDefault="00C54273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Hvis der er kritiske processer eller systemer berørt af hændelsen </w:t>
            </w:r>
            <w:r w:rsidR="006F498E" w:rsidRPr="007434DF">
              <w:rPr>
                <w:rFonts w:ascii="Aptos Body" w:hAnsi="Aptos Body"/>
                <w:sz w:val="22"/>
                <w:szCs w:val="22"/>
                <w:lang w:val="da-DK"/>
              </w:rPr>
              <w:t>øger det kritikaliteten.</w:t>
            </w:r>
          </w:p>
        </w:tc>
        <w:tc>
          <w:tcPr>
            <w:tcW w:w="5522" w:type="dxa"/>
            <w:gridSpan w:val="2"/>
          </w:tcPr>
          <w:p w14:paraId="57A1F651" w14:textId="048684C3" w:rsidR="00715FFB" w:rsidRPr="007434DF" w:rsidRDefault="00F14AB5" w:rsidP="003529B8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(</w:t>
            </w:r>
            <w:r w:rsidR="008B2DA0"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I</w:t>
            </w:r>
            <w:r w:rsidR="00715FFB"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ndsæt identificerede tjenester og systemer</w:t>
            </w:r>
            <w:r w:rsidRPr="007434DF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)</w:t>
            </w:r>
          </w:p>
        </w:tc>
      </w:tr>
      <w:tr w:rsidR="006F498E" w:rsidRPr="007434DF" w14:paraId="5C9A73B2" w14:textId="77777777" w:rsidTr="006F498E">
        <w:tc>
          <w:tcPr>
            <w:tcW w:w="9628" w:type="dxa"/>
            <w:gridSpan w:val="3"/>
            <w:shd w:val="clear" w:color="auto" w:fill="0C4D2F"/>
          </w:tcPr>
          <w:p w14:paraId="1B531006" w14:textId="2C7770A8" w:rsidR="006F498E" w:rsidRPr="007434DF" w:rsidRDefault="006F498E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Driftsforstyrrelse</w:t>
            </w:r>
          </w:p>
        </w:tc>
      </w:tr>
      <w:tr w:rsidR="00EB6104" w:rsidRPr="007434DF" w14:paraId="39018839" w14:textId="77777777" w:rsidTr="004E0835">
        <w:tc>
          <w:tcPr>
            <w:tcW w:w="4106" w:type="dxa"/>
          </w:tcPr>
          <w:p w14:paraId="569CF4BE" w14:textId="3E0704BD" w:rsidR="00EB6104" w:rsidRPr="007434DF" w:rsidRDefault="006F498E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5E65F909" w14:textId="3565178F" w:rsidR="00EB6104" w:rsidRPr="007434DF" w:rsidRDefault="006F498E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090FAA36" w14:textId="0041783C" w:rsidR="00EB6104" w:rsidRPr="007434DF" w:rsidRDefault="006F498E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5B3C57" w:rsidRPr="007434DF" w14:paraId="08EF14EF" w14:textId="77777777" w:rsidTr="00D4795B">
        <w:tc>
          <w:tcPr>
            <w:tcW w:w="4106" w:type="dxa"/>
          </w:tcPr>
          <w:p w14:paraId="0B5B3D29" w14:textId="77777777" w:rsidR="005B3C57" w:rsidRPr="007434DF" w:rsidRDefault="005B3C57" w:rsidP="00D4795B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Påvirker hændelsen kommunens evne til at levere essentielle tjenester?</w:t>
            </w:r>
          </w:p>
        </w:tc>
        <w:tc>
          <w:tcPr>
            <w:tcW w:w="2312" w:type="dxa"/>
          </w:tcPr>
          <w:p w14:paraId="4645FDA0" w14:textId="6ADCD68E" w:rsidR="005B3C57" w:rsidRPr="007434DF" w:rsidRDefault="00F14AB5" w:rsidP="00D4795B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</w:t>
            </w:r>
            <w:r w:rsidR="005B3C57"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Ja/Nej</w:t>
            </w: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)</w:t>
            </w:r>
          </w:p>
        </w:tc>
        <w:tc>
          <w:tcPr>
            <w:tcW w:w="3210" w:type="dxa"/>
          </w:tcPr>
          <w:p w14:paraId="061FB1A7" w14:textId="77777777" w:rsidR="005B3C57" w:rsidRPr="007434DF" w:rsidRDefault="005B3C57" w:rsidP="00D4795B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EB50A3" w:rsidRPr="007434DF" w14:paraId="59EC9093" w14:textId="77777777" w:rsidTr="004E0835">
        <w:tc>
          <w:tcPr>
            <w:tcW w:w="4106" w:type="dxa"/>
          </w:tcPr>
          <w:p w14:paraId="3D4E7DD8" w14:textId="77777777" w:rsidR="00EB50A3" w:rsidRPr="007434DF" w:rsidRDefault="00EB50A3" w:rsidP="00EB50A3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Er </w:t>
            </w:r>
            <w:r w:rsidR="008E0F43"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kommunens </w:t>
            </w: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kritiske systemer helt eller delvist utilgængelige (f.eks. borgerservice, sundhed, sociale ydelser)?</w:t>
            </w:r>
          </w:p>
          <w:p w14:paraId="0A867863" w14:textId="64DD3759" w:rsidR="008E0F43" w:rsidRPr="007434DF" w:rsidRDefault="008E0F43" w:rsidP="00EB50A3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Vejledning til vurdering af systemer og processers kritikalitet kan findes i Drejebogens afsnit om Risikovurdering.</w:t>
            </w:r>
          </w:p>
        </w:tc>
        <w:tc>
          <w:tcPr>
            <w:tcW w:w="2312" w:type="dxa"/>
          </w:tcPr>
          <w:p w14:paraId="63C5172C" w14:textId="4724573C" w:rsidR="00EB50A3" w:rsidRPr="007434DF" w:rsidRDefault="003B1F72" w:rsidP="00EB50A3">
            <w:pPr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1B16EF71" w14:textId="209A3CF7" w:rsidR="00EB50A3" w:rsidRPr="007434DF" w:rsidRDefault="00EB50A3" w:rsidP="00EB50A3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→ </w:t>
            </w:r>
            <w:r w:rsidR="006246F5"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potentiel </w:t>
            </w: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væsentlig hændelse</w:t>
            </w:r>
          </w:p>
        </w:tc>
      </w:tr>
      <w:tr w:rsidR="00784F3A" w:rsidRPr="007434DF" w14:paraId="6E3553B8" w14:textId="77777777" w:rsidTr="004E0835">
        <w:tc>
          <w:tcPr>
            <w:tcW w:w="4106" w:type="dxa"/>
          </w:tcPr>
          <w:p w14:paraId="22D9471F" w14:textId="4E98A2EF" w:rsidR="00784F3A" w:rsidRPr="007434DF" w:rsidRDefault="00784F3A" w:rsidP="00784F3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Er der tegn på uautoriseret adgang, ændring eller kompromittering af data</w:t>
            </w:r>
            <w:r w:rsidR="00AD4E5F"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 (fortrolighed, integritet, autenticitet, tilgængelighed)</w:t>
            </w: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?</w:t>
            </w:r>
          </w:p>
        </w:tc>
        <w:tc>
          <w:tcPr>
            <w:tcW w:w="2312" w:type="dxa"/>
          </w:tcPr>
          <w:p w14:paraId="048A4037" w14:textId="5F0F8112" w:rsidR="00784F3A" w:rsidRPr="007434DF" w:rsidRDefault="003B1F72" w:rsidP="00784F3A">
            <w:pPr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46CE2A30" w14:textId="11D38DA6" w:rsidR="00784F3A" w:rsidRPr="007434DF" w:rsidRDefault="006246F5" w:rsidP="00784F3A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784F3A" w:rsidRPr="007434DF" w14:paraId="10EC849F" w14:textId="77777777" w:rsidTr="004E0835">
        <w:tc>
          <w:tcPr>
            <w:tcW w:w="4106" w:type="dxa"/>
          </w:tcPr>
          <w:p w14:paraId="3A585066" w14:textId="6E1427C2" w:rsidR="00784F3A" w:rsidRPr="007434DF" w:rsidRDefault="00784F3A" w:rsidP="00784F3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Har borgere mistet adgang til kritiske selvbetjeningsløsninger?</w:t>
            </w:r>
          </w:p>
        </w:tc>
        <w:tc>
          <w:tcPr>
            <w:tcW w:w="2312" w:type="dxa"/>
          </w:tcPr>
          <w:p w14:paraId="69111DB0" w14:textId="6D432CB3" w:rsidR="00784F3A" w:rsidRPr="007434DF" w:rsidRDefault="003B1F72" w:rsidP="00784F3A">
            <w:pPr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50ACD176" w14:textId="6D939DCA" w:rsidR="00784F3A" w:rsidRPr="007434DF" w:rsidRDefault="006246F5" w:rsidP="00784F3A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784F3A" w:rsidRPr="007434DF" w14:paraId="42E4EFE2" w14:textId="77777777" w:rsidTr="004E0835">
        <w:tc>
          <w:tcPr>
            <w:tcW w:w="4106" w:type="dxa"/>
          </w:tcPr>
          <w:p w14:paraId="44E3A4E6" w14:textId="48F4A878" w:rsidR="00784F3A" w:rsidRPr="007434DF" w:rsidRDefault="00784F3A" w:rsidP="00784F3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Overskrider nedetiden kommunens tærskler for kritiske processer?</w:t>
            </w:r>
          </w:p>
        </w:tc>
        <w:tc>
          <w:tcPr>
            <w:tcW w:w="2312" w:type="dxa"/>
          </w:tcPr>
          <w:p w14:paraId="6C39DC1A" w14:textId="2B919B48" w:rsidR="00784F3A" w:rsidRPr="007434DF" w:rsidRDefault="003B1F72" w:rsidP="00784F3A">
            <w:pPr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02BDB567" w14:textId="42CB4045" w:rsidR="00784F3A" w:rsidRPr="007434DF" w:rsidRDefault="00784F3A" w:rsidP="00784F3A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væsentlig hændelse</w:t>
            </w:r>
          </w:p>
        </w:tc>
      </w:tr>
      <w:tr w:rsidR="00CC74D2" w:rsidRPr="007434DF" w14:paraId="54F8DA2A" w14:textId="77777777" w:rsidTr="00CC74D2">
        <w:tc>
          <w:tcPr>
            <w:tcW w:w="9628" w:type="dxa"/>
            <w:gridSpan w:val="3"/>
            <w:shd w:val="clear" w:color="auto" w:fill="0C4D2F"/>
          </w:tcPr>
          <w:p w14:paraId="6F2AB89A" w14:textId="59D3CD9A" w:rsidR="00CC74D2" w:rsidRPr="007434DF" w:rsidRDefault="00CC74D2" w:rsidP="003529B8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Økonomiske konsekvenser</w:t>
            </w:r>
          </w:p>
        </w:tc>
      </w:tr>
      <w:tr w:rsidR="00CC74D2" w:rsidRPr="007434DF" w14:paraId="4E002A06" w14:textId="77777777" w:rsidTr="004E0835">
        <w:tc>
          <w:tcPr>
            <w:tcW w:w="4106" w:type="dxa"/>
          </w:tcPr>
          <w:p w14:paraId="7BA0104F" w14:textId="77777777" w:rsidR="00CC74D2" w:rsidRPr="007434DF" w:rsidRDefault="00CC74D2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469E95BE" w14:textId="77777777" w:rsidR="00CC74D2" w:rsidRPr="007434DF" w:rsidRDefault="00CC74D2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4CE37B5B" w14:textId="77777777" w:rsidR="00CC74D2" w:rsidRPr="007434DF" w:rsidRDefault="00CC74D2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DD5AFA" w:rsidRPr="007434DF" w14:paraId="689DE921" w14:textId="77777777" w:rsidTr="004E0835">
        <w:tc>
          <w:tcPr>
            <w:tcW w:w="4106" w:type="dxa"/>
          </w:tcPr>
          <w:p w14:paraId="1AD2CB5E" w14:textId="061CBDDD" w:rsidR="00DD5AFA" w:rsidRPr="007434DF" w:rsidRDefault="00DD5AFA" w:rsidP="00DD5AFA">
            <w:pPr>
              <w:rPr>
                <w:rFonts w:ascii="Aptos Body" w:hAnsi="Aptos Body" w:cs="Sans Serif Collection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  <w:t>Kan hændelsen medføre direkte</w:t>
            </w:r>
            <w:r w:rsidR="00386F24" w:rsidRPr="007434DF"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  <w:t xml:space="preserve"> økonomiske</w:t>
            </w:r>
            <w:r w:rsidRPr="007434DF"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  <w:t xml:space="preserve"> tab</w:t>
            </w:r>
            <w:r w:rsidR="00A56595" w:rsidRPr="007434DF"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  <w:t xml:space="preserve"> </w:t>
            </w:r>
            <w:r w:rsidRPr="007434DF"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  <w:t>(f.eks. forsinkede udbetalinger, erstatningskrav, bøder)?</w:t>
            </w:r>
          </w:p>
        </w:tc>
        <w:tc>
          <w:tcPr>
            <w:tcW w:w="2312" w:type="dxa"/>
          </w:tcPr>
          <w:p w14:paraId="23D09A02" w14:textId="2255AC3F" w:rsidR="00DD5AFA" w:rsidRPr="007434DF" w:rsidRDefault="003B1F72" w:rsidP="00DD5AFA">
            <w:pPr>
              <w:rPr>
                <w:rFonts w:ascii="Aptos Body" w:hAnsi="Aptos Body" w:cs="Sans Serif Collection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14B115CC" w14:textId="173823A5" w:rsidR="00DD5AFA" w:rsidRPr="007434DF" w:rsidRDefault="006246F5" w:rsidP="00DD5AFA">
            <w:pPr>
              <w:rPr>
                <w:rFonts w:ascii="Aptos Body" w:hAnsi="Aptos Body" w:cs="Sans Serif Collection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661687" w:rsidRPr="007434DF" w14:paraId="72215918" w14:textId="77777777" w:rsidTr="004E0835">
        <w:tc>
          <w:tcPr>
            <w:tcW w:w="4106" w:type="dxa"/>
          </w:tcPr>
          <w:p w14:paraId="202083B5" w14:textId="49615D36" w:rsidR="00661687" w:rsidRPr="007434DF" w:rsidRDefault="00661687" w:rsidP="00661687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Kan tabet overstige kommunens tærskel for betydeligt økonomisk tab?</w:t>
            </w:r>
          </w:p>
        </w:tc>
        <w:tc>
          <w:tcPr>
            <w:tcW w:w="2312" w:type="dxa"/>
          </w:tcPr>
          <w:p w14:paraId="1A6978B2" w14:textId="2292C7B6" w:rsidR="00661687" w:rsidRPr="007434DF" w:rsidRDefault="003B1F72" w:rsidP="00661687">
            <w:pPr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5B47F225" w14:textId="523512DE" w:rsidR="00661687" w:rsidRPr="007434DF" w:rsidRDefault="006246F5" w:rsidP="00661687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440DA1" w:rsidRPr="007434DF" w14:paraId="49D51009" w14:textId="77777777" w:rsidTr="00440DA1">
        <w:tc>
          <w:tcPr>
            <w:tcW w:w="9628" w:type="dxa"/>
            <w:gridSpan w:val="3"/>
            <w:shd w:val="clear" w:color="auto" w:fill="0C4D2F"/>
          </w:tcPr>
          <w:p w14:paraId="742851BF" w14:textId="7C777F4A" w:rsidR="00440DA1" w:rsidRPr="007434DF" w:rsidRDefault="00440DA1" w:rsidP="00661687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Skade på tredjepart</w:t>
            </w:r>
          </w:p>
        </w:tc>
      </w:tr>
      <w:tr w:rsidR="009A60E5" w:rsidRPr="007434DF" w14:paraId="047EB1F8" w14:textId="77777777" w:rsidTr="004E0835">
        <w:tc>
          <w:tcPr>
            <w:tcW w:w="4106" w:type="dxa"/>
          </w:tcPr>
          <w:p w14:paraId="33C5BF4A" w14:textId="77777777" w:rsidR="009A60E5" w:rsidRPr="007434DF" w:rsidRDefault="009A60E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44484363" w14:textId="77777777" w:rsidR="009A60E5" w:rsidRPr="007434DF" w:rsidRDefault="009A60E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234E0E13" w14:textId="77777777" w:rsidR="009A60E5" w:rsidRPr="007434DF" w:rsidRDefault="009A60E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440DA1" w:rsidRPr="007434DF" w14:paraId="19B2A16A" w14:textId="77777777" w:rsidTr="004E0835">
        <w:tc>
          <w:tcPr>
            <w:tcW w:w="4106" w:type="dxa"/>
          </w:tcPr>
          <w:p w14:paraId="59E75A27" w14:textId="6C590D3A" w:rsidR="00440DA1" w:rsidRPr="007434DF" w:rsidRDefault="00440DA1" w:rsidP="00440DA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Kan hændelsen påvirke borgernes retssikkerhed, sundhed eller sikkerhed?</w:t>
            </w:r>
          </w:p>
        </w:tc>
        <w:tc>
          <w:tcPr>
            <w:tcW w:w="2312" w:type="dxa"/>
          </w:tcPr>
          <w:p w14:paraId="1B7A5DDE" w14:textId="195E1D15" w:rsidR="00440DA1" w:rsidRPr="007434DF" w:rsidRDefault="003B1F72" w:rsidP="00440DA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406FBD01" w14:textId="7B499514" w:rsidR="00440DA1" w:rsidRPr="007434DF" w:rsidRDefault="006246F5" w:rsidP="00440DA1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4F3340" w:rsidRPr="007434DF" w14:paraId="41F7DE32" w14:textId="77777777" w:rsidTr="004E0835">
        <w:tc>
          <w:tcPr>
            <w:tcW w:w="4106" w:type="dxa"/>
          </w:tcPr>
          <w:p w14:paraId="3A2CA73F" w14:textId="76EBDBBB" w:rsidR="004F3340" w:rsidRPr="007434DF" w:rsidRDefault="004F3340" w:rsidP="004F3340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Kan hændelsen påvirke særligt sårbare borgere eller kritiske institutioner?</w:t>
            </w:r>
          </w:p>
        </w:tc>
        <w:tc>
          <w:tcPr>
            <w:tcW w:w="2312" w:type="dxa"/>
          </w:tcPr>
          <w:p w14:paraId="5E18F846" w14:textId="53162E4D" w:rsidR="004F3340" w:rsidRPr="007434DF" w:rsidRDefault="003B1F72" w:rsidP="004F3340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7EF96DD7" w14:textId="5FCD9B5F" w:rsidR="004F3340" w:rsidRPr="007434DF" w:rsidRDefault="004F3340" w:rsidP="004F3340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7434DF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7434DF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5B3C57" w:rsidRPr="007434DF" w14:paraId="5DA935A4" w14:textId="77777777" w:rsidTr="004E0835">
        <w:tc>
          <w:tcPr>
            <w:tcW w:w="4106" w:type="dxa"/>
          </w:tcPr>
          <w:p w14:paraId="413E8026" w14:textId="1BA54D22" w:rsidR="005B3C57" w:rsidRPr="007434DF" w:rsidRDefault="005B3C57" w:rsidP="004F3340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Kan hændelsen påvirke kommunens </w:t>
            </w:r>
            <w:r w:rsidR="00CC6A3E" w:rsidRPr="007434DF">
              <w:rPr>
                <w:rFonts w:ascii="Aptos Body" w:hAnsi="Aptos Body"/>
                <w:sz w:val="22"/>
                <w:szCs w:val="22"/>
                <w:lang w:val="da-DK"/>
              </w:rPr>
              <w:t>overholdelse af lovpligtige frister?</w:t>
            </w:r>
          </w:p>
        </w:tc>
        <w:tc>
          <w:tcPr>
            <w:tcW w:w="2312" w:type="dxa"/>
          </w:tcPr>
          <w:p w14:paraId="15C706B4" w14:textId="183ECE09" w:rsidR="005B3C57" w:rsidRPr="007434DF" w:rsidRDefault="003B1F72" w:rsidP="004F3340">
            <w:pPr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0F58D327" w14:textId="525E631B" w:rsidR="005B3C57" w:rsidRPr="007434DF" w:rsidRDefault="00CC6A3E" w:rsidP="004F3340">
            <w:pPr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4F3340" w:rsidRPr="007434DF" w14:paraId="74F8A8F6" w14:textId="77777777" w:rsidTr="004F3340">
        <w:tc>
          <w:tcPr>
            <w:tcW w:w="9628" w:type="dxa"/>
            <w:gridSpan w:val="3"/>
            <w:shd w:val="clear" w:color="auto" w:fill="0C4D2F"/>
          </w:tcPr>
          <w:p w14:paraId="23790670" w14:textId="321B4813" w:rsidR="004F3340" w:rsidRPr="007434DF" w:rsidRDefault="004F3340" w:rsidP="004F3340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lastRenderedPageBreak/>
              <w:t>Leverandørpåvirkning</w:t>
            </w:r>
          </w:p>
        </w:tc>
      </w:tr>
      <w:tr w:rsidR="009A60E5" w:rsidRPr="007434DF" w14:paraId="6BB453C3" w14:textId="77777777" w:rsidTr="004E0835">
        <w:tc>
          <w:tcPr>
            <w:tcW w:w="4106" w:type="dxa"/>
          </w:tcPr>
          <w:p w14:paraId="11657A3D" w14:textId="77777777" w:rsidR="009A60E5" w:rsidRPr="007434DF" w:rsidRDefault="009A60E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7D0F4069" w14:textId="77777777" w:rsidR="009A60E5" w:rsidRPr="007434DF" w:rsidRDefault="009A60E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4D26FC92" w14:textId="77777777" w:rsidR="009A60E5" w:rsidRPr="007434DF" w:rsidRDefault="009A60E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3966BA" w:rsidRPr="007434DF" w14:paraId="522EFE25" w14:textId="77777777" w:rsidTr="004E0835">
        <w:tc>
          <w:tcPr>
            <w:tcW w:w="4106" w:type="dxa"/>
          </w:tcPr>
          <w:p w14:paraId="688D95DD" w14:textId="612B220C" w:rsidR="003966BA" w:rsidRPr="007434DF" w:rsidRDefault="003966BA" w:rsidP="003966B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Er leverandøren ude af stand til at levere en kritisk tjeneste?</w:t>
            </w:r>
          </w:p>
        </w:tc>
        <w:tc>
          <w:tcPr>
            <w:tcW w:w="2312" w:type="dxa"/>
          </w:tcPr>
          <w:p w14:paraId="1ABB4017" w14:textId="09C39F9B" w:rsidR="003966BA" w:rsidRPr="007434DF" w:rsidRDefault="003B1F72" w:rsidP="003966B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1C966F0D" w14:textId="1A7E2E1E" w:rsidR="003966BA" w:rsidRPr="007434DF" w:rsidRDefault="006246F5" w:rsidP="003966BA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BB1C22" w:rsidRPr="007434DF" w14:paraId="7A3A5936" w14:textId="77777777" w:rsidTr="00D4795B">
        <w:tc>
          <w:tcPr>
            <w:tcW w:w="4106" w:type="dxa"/>
          </w:tcPr>
          <w:p w14:paraId="1F1967FB" w14:textId="77777777" w:rsidR="00BB1C22" w:rsidRPr="007434DF" w:rsidRDefault="00BB1C22" w:rsidP="00D4795B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Er der behov for at iværksætte manuelle nødprocedurer pga. leverandørens nedbrud?</w:t>
            </w:r>
          </w:p>
        </w:tc>
        <w:tc>
          <w:tcPr>
            <w:tcW w:w="2312" w:type="dxa"/>
          </w:tcPr>
          <w:p w14:paraId="2CB6CDB8" w14:textId="7860DB51" w:rsidR="00BB1C22" w:rsidRPr="007434DF" w:rsidRDefault="003B1F72" w:rsidP="00D4795B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7BFED4E5" w14:textId="77777777" w:rsidR="00BB1C22" w:rsidRPr="007434DF" w:rsidRDefault="00BB1C22" w:rsidP="00D4795B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353485" w:rsidRPr="007434DF" w14:paraId="3BDCC7E2" w14:textId="77777777" w:rsidTr="004E0835">
        <w:tc>
          <w:tcPr>
            <w:tcW w:w="4106" w:type="dxa"/>
          </w:tcPr>
          <w:p w14:paraId="5C4BAC8F" w14:textId="0F7C9F2C" w:rsidR="00353485" w:rsidRPr="007434DF" w:rsidRDefault="00353485" w:rsidP="00353485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Er der </w:t>
            </w:r>
            <w:r w:rsidR="0067496B" w:rsidRPr="007434DF">
              <w:rPr>
                <w:rFonts w:ascii="Aptos Body" w:hAnsi="Aptos Body"/>
                <w:sz w:val="22"/>
                <w:szCs w:val="22"/>
                <w:lang w:val="da-DK"/>
              </w:rPr>
              <w:t>tegn på,</w:t>
            </w: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 at hændelsen påvirker flere kommuner eller offentlige enheder via samme leverandør?</w:t>
            </w:r>
          </w:p>
        </w:tc>
        <w:tc>
          <w:tcPr>
            <w:tcW w:w="2312" w:type="dxa"/>
          </w:tcPr>
          <w:p w14:paraId="5E27C6EF" w14:textId="49D0E88A" w:rsidR="00353485" w:rsidRPr="007434DF" w:rsidRDefault="003B1F72" w:rsidP="00353485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3707A8A0" w14:textId="2FCCE72C" w:rsidR="00353485" w:rsidRPr="007434DF" w:rsidRDefault="00353485" w:rsidP="00353485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7434DF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7434DF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353485" w:rsidRPr="007434DF" w14:paraId="4F4CD42A" w14:textId="77777777" w:rsidTr="004E0835">
        <w:tc>
          <w:tcPr>
            <w:tcW w:w="4106" w:type="dxa"/>
          </w:tcPr>
          <w:p w14:paraId="0E22CD76" w14:textId="40C9A6E0" w:rsidR="00353485" w:rsidRPr="007434DF" w:rsidRDefault="00402EE1" w:rsidP="00353485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>Er leverandøren</w:t>
            </w:r>
            <w:r w:rsidR="005D25BD"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 i egen ret</w:t>
            </w:r>
            <w:r w:rsidRPr="007434DF">
              <w:rPr>
                <w:rFonts w:ascii="Aptos Body" w:hAnsi="Aptos Body"/>
                <w:sz w:val="22"/>
                <w:szCs w:val="22"/>
                <w:lang w:val="da-DK"/>
              </w:rPr>
              <w:t xml:space="preserve"> underlagt NIS2, og har de rapporteret hændelsen?</w:t>
            </w:r>
          </w:p>
        </w:tc>
        <w:tc>
          <w:tcPr>
            <w:tcW w:w="2312" w:type="dxa"/>
          </w:tcPr>
          <w:p w14:paraId="6830F1D2" w14:textId="6B544B70" w:rsidR="00353485" w:rsidRPr="007434DF" w:rsidRDefault="003B1F72" w:rsidP="00353485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38B9E9D8" w14:textId="02C56B8B" w:rsidR="00353485" w:rsidRPr="007434DF" w:rsidRDefault="00402EE1" w:rsidP="00353485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Ja → potentiel væsentlig hændelse</w:t>
            </w:r>
          </w:p>
        </w:tc>
      </w:tr>
      <w:tr w:rsidR="00402EE1" w:rsidRPr="007434DF" w14:paraId="30BCC13C" w14:textId="77777777" w:rsidTr="004E0835">
        <w:tc>
          <w:tcPr>
            <w:tcW w:w="4106" w:type="dxa"/>
          </w:tcPr>
          <w:p w14:paraId="164F9987" w14:textId="426474B3" w:rsidR="00402EE1" w:rsidRPr="007434DF" w:rsidRDefault="00402EE1" w:rsidP="00402EE1">
            <w:pPr>
              <w:rPr>
                <w:rFonts w:ascii="Aptos Body" w:hAnsi="Aptos Body"/>
                <w:sz w:val="22"/>
                <w:szCs w:val="22"/>
                <w:lang w:val="nb-NO"/>
              </w:rPr>
            </w:pPr>
            <w:r w:rsidRPr="007434DF">
              <w:rPr>
                <w:rFonts w:ascii="Aptos Body" w:hAnsi="Aptos Body"/>
                <w:sz w:val="22"/>
                <w:szCs w:val="22"/>
                <w:lang w:val="nb-NO"/>
              </w:rPr>
              <w:t>Er der risiko for systemisk påvirkning i sektoren?</w:t>
            </w:r>
          </w:p>
        </w:tc>
        <w:tc>
          <w:tcPr>
            <w:tcW w:w="2312" w:type="dxa"/>
          </w:tcPr>
          <w:p w14:paraId="06C19821" w14:textId="50AC7D20" w:rsidR="00402EE1" w:rsidRPr="007434DF" w:rsidRDefault="003B1F72" w:rsidP="00402EE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4BF5D36C" w14:textId="7A66068B" w:rsidR="00402EE1" w:rsidRPr="007434DF" w:rsidRDefault="00402EE1" w:rsidP="00402EE1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7434DF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7434DF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7434DF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</w:tbl>
    <w:p w14:paraId="44BAB9CA" w14:textId="77777777" w:rsidR="00353485" w:rsidRDefault="00353485" w:rsidP="003529B8">
      <w:pPr>
        <w:rPr>
          <w:rFonts w:ascii="Aptos Body" w:hAnsi="Aptos Body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106"/>
        <w:gridCol w:w="2312"/>
        <w:gridCol w:w="3210"/>
      </w:tblGrid>
      <w:tr w:rsidR="00353485" w:rsidRPr="007D6B7B" w14:paraId="64322469" w14:textId="77777777" w:rsidTr="00E124F5">
        <w:tc>
          <w:tcPr>
            <w:tcW w:w="9628" w:type="dxa"/>
            <w:gridSpan w:val="3"/>
          </w:tcPr>
          <w:p w14:paraId="5431DDFE" w14:textId="03DDC545" w:rsidR="00353485" w:rsidRPr="00DE1B84" w:rsidRDefault="00353485" w:rsidP="001743B2">
            <w:pPr>
              <w:pStyle w:val="Overskrift2"/>
              <w:rPr>
                <w:lang w:val="da-DK"/>
              </w:rPr>
            </w:pPr>
            <w:r w:rsidRPr="00DE1B84">
              <w:rPr>
                <w:lang w:val="da-DK"/>
              </w:rPr>
              <w:t xml:space="preserve">DEL 2 – </w:t>
            </w:r>
            <w:r w:rsidR="007E7842" w:rsidRPr="00DE1B84">
              <w:rPr>
                <w:lang w:val="da-DK"/>
              </w:rPr>
              <w:t>uddybende vurdering</w:t>
            </w:r>
          </w:p>
          <w:p w14:paraId="181E3C2E" w14:textId="77777777" w:rsidR="00353485" w:rsidRPr="00DE1B84" w:rsidRDefault="00353485" w:rsidP="00E124F5">
            <w:pPr>
              <w:jc w:val="both"/>
              <w:rPr>
                <w:rFonts w:ascii="Aptos Body" w:hAnsi="Aptos Body"/>
                <w:sz w:val="22"/>
                <w:szCs w:val="22"/>
                <w:lang w:val="da-DK"/>
              </w:rPr>
            </w:pPr>
          </w:p>
          <w:p w14:paraId="06156188" w14:textId="77777777" w:rsidR="00353485" w:rsidRPr="00DE1B84" w:rsidRDefault="00353485" w:rsidP="00E124F5">
            <w:pPr>
              <w:jc w:val="both"/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 xml:space="preserve">Formål: </w:t>
            </w:r>
            <w:r w:rsidR="007E7842" w:rsidRPr="00DE1B84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 xml:space="preserve">at skabe et dokumenteret, sporbart og detaljeret grundlag for håndtering, </w:t>
            </w:r>
            <w:r w:rsidR="00284F7D" w:rsidRPr="00DE1B84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rapportering og læring.</w:t>
            </w:r>
          </w:p>
          <w:p w14:paraId="5AF7818F" w14:textId="17C64178" w:rsidR="009969CB" w:rsidRPr="00DE1B84" w:rsidRDefault="009969CB" w:rsidP="00E124F5">
            <w:pPr>
              <w:jc w:val="both"/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 xml:space="preserve">Skemaet kan anvendes til sikring af dokumentation frem til </w:t>
            </w:r>
            <w:r w:rsidR="0019545B" w:rsidRPr="00DE1B84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>opfølgning af hændelsen.</w:t>
            </w:r>
          </w:p>
        </w:tc>
      </w:tr>
      <w:tr w:rsidR="00353485" w:rsidRPr="00DE1B84" w14:paraId="7DB8C03C" w14:textId="77777777" w:rsidTr="00E124F5">
        <w:tc>
          <w:tcPr>
            <w:tcW w:w="9628" w:type="dxa"/>
            <w:gridSpan w:val="3"/>
            <w:shd w:val="clear" w:color="auto" w:fill="0C4D2F"/>
          </w:tcPr>
          <w:p w14:paraId="1E31F60B" w14:textId="04580C3E" w:rsidR="00353485" w:rsidRPr="00DE1B84" w:rsidRDefault="0035348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Driftsforstyrrelse</w:t>
            </w:r>
          </w:p>
        </w:tc>
      </w:tr>
      <w:tr w:rsidR="00353485" w:rsidRPr="00DE1B84" w14:paraId="0F5C9F8D" w14:textId="77777777" w:rsidTr="004E0835">
        <w:tc>
          <w:tcPr>
            <w:tcW w:w="4106" w:type="dxa"/>
          </w:tcPr>
          <w:p w14:paraId="33B3BF80" w14:textId="77777777" w:rsidR="00353485" w:rsidRPr="00DE1B84" w:rsidRDefault="0035348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11C6552A" w14:textId="77777777" w:rsidR="00353485" w:rsidRPr="00DE1B84" w:rsidRDefault="0035348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00BDE090" w14:textId="77777777" w:rsidR="00353485" w:rsidRPr="00DE1B84" w:rsidRDefault="00353485" w:rsidP="00E124F5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2A7431" w:rsidRPr="00DE1B84" w14:paraId="5F71964D" w14:textId="77777777" w:rsidTr="004E0835">
        <w:tc>
          <w:tcPr>
            <w:tcW w:w="4106" w:type="dxa"/>
          </w:tcPr>
          <w:p w14:paraId="2A75B4D0" w14:textId="2382E4C3" w:rsidR="002A7431" w:rsidRPr="00DE1B84" w:rsidRDefault="002A7431" w:rsidP="002A743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Er hændelsen fortsat aktiv?</w:t>
            </w:r>
          </w:p>
        </w:tc>
        <w:tc>
          <w:tcPr>
            <w:tcW w:w="2312" w:type="dxa"/>
          </w:tcPr>
          <w:p w14:paraId="00A65B52" w14:textId="5507D6D1" w:rsidR="002A7431" w:rsidRPr="00DE1B84" w:rsidRDefault="003B1F72" w:rsidP="002A743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0909FE68" w14:textId="01114B54" w:rsidR="002A7431" w:rsidRPr="00DE1B84" w:rsidRDefault="002A7431" w:rsidP="002A7431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2A7431" w:rsidRPr="00DE1B84" w14:paraId="06DBD40D" w14:textId="77777777" w:rsidTr="004E0835">
        <w:tc>
          <w:tcPr>
            <w:tcW w:w="4106" w:type="dxa"/>
          </w:tcPr>
          <w:p w14:paraId="6F619047" w14:textId="4E737F32" w:rsidR="002A7431" w:rsidRPr="00DE1B84" w:rsidRDefault="002A7431" w:rsidP="002A743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Hvor mange borgere, institutioner eller samarbejdspartnere er berørt?</w:t>
            </w:r>
          </w:p>
        </w:tc>
        <w:tc>
          <w:tcPr>
            <w:tcW w:w="2312" w:type="dxa"/>
          </w:tcPr>
          <w:p w14:paraId="0CE8F802" w14:textId="659ED9BD" w:rsidR="002A7431" w:rsidRPr="00DE1B84" w:rsidRDefault="002A7431" w:rsidP="002A743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hAnsi="Aptos Body"/>
                <w:sz w:val="22"/>
                <w:szCs w:val="22"/>
                <w:highlight w:val="lightGray"/>
                <w:lang w:val="da-DK"/>
              </w:rPr>
              <w:t>angiv antal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607F1880" w14:textId="542C9CF6" w:rsidR="002A7431" w:rsidRPr="00DE1B84" w:rsidRDefault="002A7431" w:rsidP="002A7431">
            <w:pPr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i/>
                <w:iCs/>
                <w:sz w:val="22"/>
                <w:szCs w:val="22"/>
                <w:lang w:val="da-DK"/>
              </w:rPr>
              <w:t xml:space="preserve">Højt antal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 øger kritikalitet</w:t>
            </w:r>
          </w:p>
        </w:tc>
      </w:tr>
      <w:tr w:rsidR="002A7431" w:rsidRPr="00DE1B84" w14:paraId="3525C524" w14:textId="77777777" w:rsidTr="004E0835">
        <w:tc>
          <w:tcPr>
            <w:tcW w:w="4106" w:type="dxa"/>
          </w:tcPr>
          <w:p w14:paraId="3E255254" w14:textId="737B2FD3" w:rsidR="002A7431" w:rsidRPr="00DE1B84" w:rsidRDefault="002A7431" w:rsidP="002A743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Hvor længe har tjenesten været utilgængelig eller forringet (eller forventes at være det)?</w:t>
            </w:r>
          </w:p>
        </w:tc>
        <w:tc>
          <w:tcPr>
            <w:tcW w:w="2312" w:type="dxa"/>
          </w:tcPr>
          <w:p w14:paraId="38D44572" w14:textId="1B721CE1" w:rsidR="002A7431" w:rsidRPr="00DE1B84" w:rsidRDefault="002A7431" w:rsidP="002A7431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angiv antal ved f.eks. timer eller dage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4278F397" w14:textId="56CECFCE" w:rsidR="002A7431" w:rsidRPr="00DE1B84" w:rsidRDefault="002A7431" w:rsidP="002A7431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Langvarig nedetid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 øger kritikalitet</w:t>
            </w:r>
          </w:p>
        </w:tc>
      </w:tr>
      <w:tr w:rsidR="002A7431" w:rsidRPr="007D6B7B" w14:paraId="22E67B5D" w14:textId="77777777" w:rsidTr="004E0835">
        <w:tc>
          <w:tcPr>
            <w:tcW w:w="4106" w:type="dxa"/>
          </w:tcPr>
          <w:p w14:paraId="253CC1FE" w14:textId="7BD1FE55" w:rsidR="002A7431" w:rsidRPr="00DE1B84" w:rsidRDefault="002A7431" w:rsidP="002A7431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Hvilke afhængigheder (systemer, integrationer, processer) er påvirket?</w:t>
            </w:r>
          </w:p>
        </w:tc>
        <w:tc>
          <w:tcPr>
            <w:tcW w:w="2312" w:type="dxa"/>
          </w:tcPr>
          <w:p w14:paraId="26EB0491" w14:textId="4EFB4E2F" w:rsidR="002A7431" w:rsidRPr="00DE1B84" w:rsidRDefault="002A7431" w:rsidP="002A7431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211AF99B" w14:textId="4E933103" w:rsidR="002A7431" w:rsidRPr="00DE1B84" w:rsidRDefault="002A7431" w:rsidP="002A7431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Flere/mange afhængigheder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 øger kritikalitet</w:t>
            </w:r>
          </w:p>
        </w:tc>
      </w:tr>
      <w:tr w:rsidR="00452C0E" w:rsidRPr="00DE1B84" w14:paraId="700AC498" w14:textId="77777777" w:rsidTr="004E0835">
        <w:tc>
          <w:tcPr>
            <w:tcW w:w="4106" w:type="dxa"/>
          </w:tcPr>
          <w:p w14:paraId="224D0224" w14:textId="1C1C576C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Er der risiko for kaskadeeffekter?</w:t>
            </w:r>
          </w:p>
        </w:tc>
        <w:tc>
          <w:tcPr>
            <w:tcW w:w="2312" w:type="dxa"/>
          </w:tcPr>
          <w:p w14:paraId="7F57E595" w14:textId="59F745C3" w:rsidR="00452C0E" w:rsidRPr="00DE1B84" w:rsidRDefault="003B1F72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6A0F8268" w14:textId="5F0F6F43" w:rsidR="00452C0E" w:rsidRPr="00DE1B84" w:rsidRDefault="00452C0E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452C0E" w:rsidRPr="007D6B7B" w14:paraId="4C3AFBAD" w14:textId="77777777" w:rsidTr="004E0835">
        <w:tc>
          <w:tcPr>
            <w:tcW w:w="4106" w:type="dxa"/>
          </w:tcPr>
          <w:p w14:paraId="26AD884A" w14:textId="2E717A5A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Hvilke tekniske eller organisatoriske forhold har bidraget til hændelsen?</w:t>
            </w:r>
          </w:p>
        </w:tc>
        <w:tc>
          <w:tcPr>
            <w:tcW w:w="2312" w:type="dxa"/>
          </w:tcPr>
          <w:p w14:paraId="6A524337" w14:textId="2025C701" w:rsidR="00452C0E" w:rsidRPr="00DE1B84" w:rsidRDefault="00452C0E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70E99661" w14:textId="00C5DBCD" w:rsidR="00452C0E" w:rsidRPr="00DE1B84" w:rsidRDefault="00452C0E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Understøtter</w:t>
            </w:r>
            <w:r w:rsidR="003B1F72"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identificering af</w:t>
            </w: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>root</w:t>
            </w:r>
            <w:proofErr w:type="spellEnd"/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cause</w:t>
            </w:r>
          </w:p>
        </w:tc>
      </w:tr>
      <w:tr w:rsidR="00452C0E" w:rsidRPr="00DE1B84" w14:paraId="644F5911" w14:textId="77777777" w:rsidTr="00E124F5">
        <w:tc>
          <w:tcPr>
            <w:tcW w:w="9628" w:type="dxa"/>
            <w:gridSpan w:val="3"/>
            <w:shd w:val="clear" w:color="auto" w:fill="0C4D2F"/>
          </w:tcPr>
          <w:p w14:paraId="4756B44A" w14:textId="30AC024A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Økonomiske konsekvenser</w:t>
            </w:r>
          </w:p>
        </w:tc>
      </w:tr>
      <w:tr w:rsidR="00452C0E" w:rsidRPr="00DE1B84" w14:paraId="72431C02" w14:textId="77777777" w:rsidTr="004E0835">
        <w:tc>
          <w:tcPr>
            <w:tcW w:w="4106" w:type="dxa"/>
          </w:tcPr>
          <w:p w14:paraId="3B1F7474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40C362AD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22AD6D34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452C0E" w:rsidRPr="00DE1B84" w14:paraId="1788B50B" w14:textId="77777777" w:rsidTr="004E0835">
        <w:tc>
          <w:tcPr>
            <w:tcW w:w="4106" w:type="dxa"/>
          </w:tcPr>
          <w:p w14:paraId="63E0A4B2" w14:textId="76ECEEC0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Hvilke direkte omkostninger forventes (f.eks. ekstra drift, erstatning, bøder)?</w:t>
            </w:r>
          </w:p>
        </w:tc>
        <w:tc>
          <w:tcPr>
            <w:tcW w:w="2312" w:type="dxa"/>
          </w:tcPr>
          <w:p w14:paraId="3C1B284A" w14:textId="0989DAB4" w:rsidR="00452C0E" w:rsidRPr="00DE1B84" w:rsidRDefault="00452C0E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78E580BC" w14:textId="118051F9" w:rsidR="00452C0E" w:rsidRPr="00DE1B84" w:rsidRDefault="00452C0E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Høje omkostninger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 øger kritikalitet</w:t>
            </w:r>
          </w:p>
        </w:tc>
      </w:tr>
      <w:tr w:rsidR="00452C0E" w:rsidRPr="007D6B7B" w14:paraId="1D71954C" w14:textId="77777777" w:rsidTr="004E0835">
        <w:tc>
          <w:tcPr>
            <w:tcW w:w="4106" w:type="dxa"/>
          </w:tcPr>
          <w:p w14:paraId="1B3CDB78" w14:textId="723942E8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Hvilke indirekte omkostninger kan opstå (f.eks. ekstra personale, tab af tillid, forsinkelser)?</w:t>
            </w:r>
          </w:p>
        </w:tc>
        <w:tc>
          <w:tcPr>
            <w:tcW w:w="2312" w:type="dxa"/>
          </w:tcPr>
          <w:p w14:paraId="08BC4A36" w14:textId="4310C69C" w:rsidR="00452C0E" w:rsidRPr="00DE1B84" w:rsidRDefault="00452C0E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3A77B543" w14:textId="76C5B33D" w:rsidR="00452C0E" w:rsidRPr="00DE1B84" w:rsidRDefault="00AD1639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Høje eller mange omkostninger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 øger kritikalitet</w:t>
            </w:r>
          </w:p>
        </w:tc>
      </w:tr>
      <w:tr w:rsidR="00452C0E" w:rsidRPr="00DE1B84" w14:paraId="532DF988" w14:textId="77777777" w:rsidTr="004E0835">
        <w:tc>
          <w:tcPr>
            <w:tcW w:w="4106" w:type="dxa"/>
          </w:tcPr>
          <w:p w14:paraId="10CF8C44" w14:textId="5FE2B6B8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Er der risiko for længerevarende økonomisk påvirkning af kommunen?</w:t>
            </w:r>
          </w:p>
        </w:tc>
        <w:tc>
          <w:tcPr>
            <w:tcW w:w="2312" w:type="dxa"/>
          </w:tcPr>
          <w:p w14:paraId="0544D71C" w14:textId="225B7CA7" w:rsidR="00452C0E" w:rsidRPr="00DE1B84" w:rsidRDefault="003B1F72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3CFD0ECF" w14:textId="1CF5C11F" w:rsidR="00452C0E" w:rsidRPr="00DE1B84" w:rsidRDefault="00452C0E" w:rsidP="00452C0E">
            <w:pPr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452C0E" w:rsidRPr="00DE1B84" w14:paraId="791650A4" w14:textId="77777777" w:rsidTr="00E124F5">
        <w:tc>
          <w:tcPr>
            <w:tcW w:w="9628" w:type="dxa"/>
            <w:gridSpan w:val="3"/>
            <w:shd w:val="clear" w:color="auto" w:fill="0C4D2F"/>
          </w:tcPr>
          <w:p w14:paraId="7332A5FA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Skade på tredjepart</w:t>
            </w:r>
          </w:p>
        </w:tc>
      </w:tr>
      <w:tr w:rsidR="00452C0E" w:rsidRPr="00DE1B84" w14:paraId="75EC7C38" w14:textId="77777777" w:rsidTr="004E0835">
        <w:tc>
          <w:tcPr>
            <w:tcW w:w="4106" w:type="dxa"/>
          </w:tcPr>
          <w:p w14:paraId="72DE4752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5462FAEA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7440D306" w14:textId="77777777" w:rsidR="00452C0E" w:rsidRPr="00DE1B84" w:rsidRDefault="00452C0E" w:rsidP="00452C0E">
            <w:pPr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452C0E" w:rsidRPr="00DE1B84" w14:paraId="2246783A" w14:textId="77777777" w:rsidTr="004E0835">
        <w:tc>
          <w:tcPr>
            <w:tcW w:w="4106" w:type="dxa"/>
          </w:tcPr>
          <w:p w14:paraId="731F5106" w14:textId="3FFDD756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Har hændelsen medført eller kan den medføre skade på borgernes sundhed, retssikkerhed eller sikkerhed?</w:t>
            </w:r>
          </w:p>
        </w:tc>
        <w:tc>
          <w:tcPr>
            <w:tcW w:w="2312" w:type="dxa"/>
          </w:tcPr>
          <w:p w14:paraId="1374406E" w14:textId="6D5E236C" w:rsidR="00452C0E" w:rsidRPr="00DE1B84" w:rsidRDefault="003B1F72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6DD86924" w14:textId="72E68491" w:rsidR="00452C0E" w:rsidRPr="00DE1B84" w:rsidRDefault="00452C0E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væsentlig hændelse</w:t>
            </w:r>
          </w:p>
        </w:tc>
      </w:tr>
      <w:tr w:rsidR="00452C0E" w:rsidRPr="00DE1B84" w14:paraId="66D05306" w14:textId="77777777" w:rsidTr="004E0835">
        <w:tc>
          <w:tcPr>
            <w:tcW w:w="4106" w:type="dxa"/>
          </w:tcPr>
          <w:p w14:paraId="73BC0BF4" w14:textId="53A8648C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Har hændelsen medført </w:t>
            </w:r>
            <w:r w:rsidR="00CB360B"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eller kan den </w:t>
            </w:r>
            <w:r w:rsidR="004D0906" w:rsidRPr="00DE1B84">
              <w:rPr>
                <w:rFonts w:ascii="Aptos Body" w:hAnsi="Aptos Body"/>
                <w:sz w:val="22"/>
                <w:szCs w:val="22"/>
                <w:lang w:val="da-DK"/>
              </w:rPr>
              <w:t>medføre</w:t>
            </w:r>
            <w:r w:rsidR="00171A38"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 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væsentlige økonomiske 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lastRenderedPageBreak/>
              <w:t>konsekvenser for borgere eller samarbejdspartnere?</w:t>
            </w:r>
          </w:p>
        </w:tc>
        <w:tc>
          <w:tcPr>
            <w:tcW w:w="2312" w:type="dxa"/>
          </w:tcPr>
          <w:p w14:paraId="10238BF3" w14:textId="496F80BA" w:rsidR="00452C0E" w:rsidRPr="00DE1B84" w:rsidRDefault="003B1F72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lastRenderedPageBreak/>
              <w:t>(Ja/Nej)</w:t>
            </w:r>
          </w:p>
        </w:tc>
        <w:tc>
          <w:tcPr>
            <w:tcW w:w="3210" w:type="dxa"/>
          </w:tcPr>
          <w:p w14:paraId="3EBCA9F1" w14:textId="08B57485" w:rsidR="00452C0E" w:rsidRPr="00DE1B84" w:rsidRDefault="00452C0E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væsentlig hændelse</w:t>
            </w:r>
          </w:p>
        </w:tc>
      </w:tr>
      <w:tr w:rsidR="00452C0E" w:rsidRPr="00DE1B84" w14:paraId="282F7E6D" w14:textId="77777777" w:rsidTr="004E0835">
        <w:tc>
          <w:tcPr>
            <w:tcW w:w="4106" w:type="dxa"/>
          </w:tcPr>
          <w:p w14:paraId="4792CF4A" w14:textId="7F40FBB5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Har hændelsen medført </w:t>
            </w:r>
            <w:r w:rsidR="004D0906"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eller kan den medføre 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personskade, hospitalsindlæggelser eller andre alvorlige konsekvenser?</w:t>
            </w:r>
          </w:p>
        </w:tc>
        <w:tc>
          <w:tcPr>
            <w:tcW w:w="2312" w:type="dxa"/>
          </w:tcPr>
          <w:p w14:paraId="66272225" w14:textId="3C2763D5" w:rsidR="00452C0E" w:rsidRPr="00DE1B84" w:rsidRDefault="003B1F72" w:rsidP="00452C0E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0655E499" w14:textId="0CA8B0E4" w:rsidR="00452C0E" w:rsidRPr="00DE1B84" w:rsidRDefault="00452C0E" w:rsidP="00452C0E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væsentlig hændelse</w:t>
            </w:r>
          </w:p>
        </w:tc>
      </w:tr>
      <w:tr w:rsidR="00452C0E" w:rsidRPr="00DE1B84" w14:paraId="376C18F8" w14:textId="77777777" w:rsidTr="004E0835">
        <w:tc>
          <w:tcPr>
            <w:tcW w:w="4106" w:type="dxa"/>
          </w:tcPr>
          <w:p w14:paraId="0BDA4CEB" w14:textId="5B300A27" w:rsidR="00452C0E" w:rsidRPr="00DE1B84" w:rsidRDefault="00452C0E" w:rsidP="00452C0E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Hvilke grupper er berørt (f.eks. sårbare borgere, institutioner, virksomheder)?</w:t>
            </w:r>
          </w:p>
        </w:tc>
        <w:tc>
          <w:tcPr>
            <w:tcW w:w="2312" w:type="dxa"/>
          </w:tcPr>
          <w:p w14:paraId="50C57F81" w14:textId="3FF88465" w:rsidR="00452C0E" w:rsidRPr="00DE1B84" w:rsidRDefault="00452C0E" w:rsidP="00452C0E">
            <w:pPr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43B9512E" w14:textId="3EABCF7F" w:rsidR="00452C0E" w:rsidRPr="00DE1B84" w:rsidRDefault="00452C0E" w:rsidP="00452C0E">
            <w:pPr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>Understøtter rapportering</w:t>
            </w:r>
            <w:r w:rsidR="00AD1639"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>s behov</w:t>
            </w:r>
          </w:p>
        </w:tc>
      </w:tr>
      <w:tr w:rsidR="00851BAA" w:rsidRPr="00DE1B84" w14:paraId="5A922C2B" w14:textId="77777777" w:rsidTr="004E0835">
        <w:tc>
          <w:tcPr>
            <w:tcW w:w="4106" w:type="dxa"/>
          </w:tcPr>
          <w:p w14:paraId="53C72776" w14:textId="36333B61" w:rsidR="00851BAA" w:rsidRPr="00DE1B84" w:rsidRDefault="00851BAA" w:rsidP="00851BA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Er der behov for kommunikation til borgere, institutioner eller </w:t>
            </w:r>
            <w:r w:rsidR="00C2459B" w:rsidRPr="00DE1B84">
              <w:rPr>
                <w:rFonts w:ascii="Aptos Body" w:hAnsi="Aptos Body"/>
                <w:sz w:val="22"/>
                <w:szCs w:val="22"/>
                <w:lang w:val="da-DK"/>
              </w:rPr>
              <w:t>samarbejdspartnere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?</w:t>
            </w:r>
          </w:p>
        </w:tc>
        <w:tc>
          <w:tcPr>
            <w:tcW w:w="2312" w:type="dxa"/>
          </w:tcPr>
          <w:p w14:paraId="1A41C4B8" w14:textId="47245106" w:rsidR="00851BAA" w:rsidRPr="00DE1B84" w:rsidRDefault="003B1F72" w:rsidP="00851BAA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68247B11" w14:textId="4C6C9AF9" w:rsidR="00851BAA" w:rsidRPr="00DE1B84" w:rsidRDefault="00851BAA" w:rsidP="00851BAA">
            <w:pPr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851BAA" w:rsidRPr="00DE1B84" w14:paraId="601BD806" w14:textId="77777777" w:rsidTr="0019545B">
        <w:tc>
          <w:tcPr>
            <w:tcW w:w="9628" w:type="dxa"/>
            <w:gridSpan w:val="3"/>
            <w:shd w:val="clear" w:color="auto" w:fill="0C4D2F"/>
          </w:tcPr>
          <w:p w14:paraId="057E7A05" w14:textId="55065C04" w:rsidR="00851BAA" w:rsidRPr="00DE1B84" w:rsidRDefault="00851BAA" w:rsidP="00851BAA">
            <w:pPr>
              <w:rPr>
                <w:rFonts w:ascii="Aptos Body" w:eastAsia="Aptos" w:hAnsi="Aptos Body"/>
                <w:b/>
                <w:b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b/>
                <w:bCs/>
                <w:color w:val="FFFFFF" w:themeColor="background1"/>
                <w:sz w:val="22"/>
                <w:szCs w:val="22"/>
                <w:lang w:val="da-DK"/>
              </w:rPr>
              <w:t>Leverandørpåvirkning</w:t>
            </w:r>
          </w:p>
        </w:tc>
      </w:tr>
      <w:tr w:rsidR="00486A85" w:rsidRPr="00DE1B84" w14:paraId="6AF6BD31" w14:textId="77777777" w:rsidTr="004E0835">
        <w:tc>
          <w:tcPr>
            <w:tcW w:w="4106" w:type="dxa"/>
          </w:tcPr>
          <w:p w14:paraId="1C28C841" w14:textId="710ADEB6" w:rsidR="00486A85" w:rsidRPr="00DE1B84" w:rsidRDefault="00486A85" w:rsidP="00486A85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Vurderingspunkt</w:t>
            </w:r>
          </w:p>
        </w:tc>
        <w:tc>
          <w:tcPr>
            <w:tcW w:w="2312" w:type="dxa"/>
          </w:tcPr>
          <w:p w14:paraId="63972D78" w14:textId="490EDC96" w:rsidR="00486A85" w:rsidRPr="00DE1B84" w:rsidRDefault="00486A85" w:rsidP="00486A85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Svar</w:t>
            </w:r>
          </w:p>
        </w:tc>
        <w:tc>
          <w:tcPr>
            <w:tcW w:w="3210" w:type="dxa"/>
          </w:tcPr>
          <w:p w14:paraId="39B835DA" w14:textId="5A3132B1" w:rsidR="00486A85" w:rsidRPr="00DE1B84" w:rsidRDefault="00486A85" w:rsidP="00486A85">
            <w:pPr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7434DF">
              <w:rPr>
                <w:rFonts w:ascii="Aptos Body" w:hAnsi="Aptos Body"/>
                <w:b/>
                <w:bCs/>
                <w:sz w:val="22"/>
                <w:szCs w:val="22"/>
                <w:lang w:val="da-DK"/>
              </w:rPr>
              <w:t>Konsekvens</w:t>
            </w:r>
          </w:p>
        </w:tc>
      </w:tr>
      <w:tr w:rsidR="00851BAA" w:rsidRPr="00DE1B84" w14:paraId="43E86056" w14:textId="77777777" w:rsidTr="004E0835">
        <w:tc>
          <w:tcPr>
            <w:tcW w:w="4106" w:type="dxa"/>
          </w:tcPr>
          <w:p w14:paraId="1353E02E" w14:textId="0B17CE78" w:rsidR="00851BAA" w:rsidRPr="00DE1B84" w:rsidRDefault="00851BAA" w:rsidP="00851BA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Påvirker hændelsen </w:t>
            </w:r>
            <w:r w:rsidR="00A824CA" w:rsidRPr="00DE1B84">
              <w:rPr>
                <w:rFonts w:ascii="Aptos Body" w:hAnsi="Aptos Body"/>
                <w:sz w:val="22"/>
                <w:szCs w:val="22"/>
                <w:lang w:val="da-DK"/>
              </w:rPr>
              <w:t>(eller kan den påvirke)</w:t>
            </w:r>
            <w:r w:rsidR="006D58A9"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 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leverandørens evne til at understøtte </w:t>
            </w:r>
            <w:r w:rsidR="00C2459B" w:rsidRPr="00DE1B84">
              <w:rPr>
                <w:rFonts w:ascii="Aptos Body" w:hAnsi="Aptos Body"/>
                <w:sz w:val="22"/>
                <w:szCs w:val="22"/>
                <w:lang w:val="da-DK"/>
              </w:rPr>
              <w:t>kommunens</w:t>
            </w: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 kerneydelser?</w:t>
            </w:r>
          </w:p>
        </w:tc>
        <w:tc>
          <w:tcPr>
            <w:tcW w:w="2312" w:type="dxa"/>
          </w:tcPr>
          <w:p w14:paraId="13CC060D" w14:textId="68A4584A" w:rsidR="00851BAA" w:rsidRPr="00DE1B84" w:rsidRDefault="003B1F72" w:rsidP="00851BAA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1510E330" w14:textId="4BAD9F08" w:rsidR="00851BAA" w:rsidRPr="00DE1B84" w:rsidRDefault="00851BAA" w:rsidP="00851BAA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væsentlig hændelse</w:t>
            </w:r>
          </w:p>
        </w:tc>
      </w:tr>
      <w:tr w:rsidR="00851BAA" w:rsidRPr="00DE1B84" w14:paraId="7E399B1B" w14:textId="77777777" w:rsidTr="004E0835">
        <w:tc>
          <w:tcPr>
            <w:tcW w:w="4106" w:type="dxa"/>
          </w:tcPr>
          <w:p w14:paraId="07D5D3AC" w14:textId="6B499359" w:rsidR="00851BAA" w:rsidRPr="00DE1B84" w:rsidRDefault="00851BAA" w:rsidP="00851BA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Hvilke leverancer, systemer eller integrationer er påvirket?</w:t>
            </w:r>
          </w:p>
        </w:tc>
        <w:tc>
          <w:tcPr>
            <w:tcW w:w="2312" w:type="dxa"/>
          </w:tcPr>
          <w:p w14:paraId="31262DED" w14:textId="16DF9914" w:rsidR="00851BAA" w:rsidRPr="00DE1B84" w:rsidRDefault="00851BAA" w:rsidP="00851BAA">
            <w:pPr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20BC98AB" w14:textId="4D2A4BD7" w:rsidR="00851BAA" w:rsidRPr="00DE1B84" w:rsidRDefault="00851BAA" w:rsidP="00851BAA">
            <w:pPr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>Understøtter omfangsvurdering</w:t>
            </w:r>
          </w:p>
        </w:tc>
      </w:tr>
      <w:tr w:rsidR="003B1F72" w:rsidRPr="00DE1B84" w14:paraId="5BFCA802" w14:textId="77777777" w:rsidTr="004E0835">
        <w:tc>
          <w:tcPr>
            <w:tcW w:w="4106" w:type="dxa"/>
          </w:tcPr>
          <w:p w14:paraId="77542181" w14:textId="42203586" w:rsidR="003B1F72" w:rsidRPr="00DE1B84" w:rsidRDefault="003B1F72" w:rsidP="003B1F72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Kan hændelsen påvirke andre af kommunens systemer via leverandørkæden?</w:t>
            </w:r>
          </w:p>
        </w:tc>
        <w:tc>
          <w:tcPr>
            <w:tcW w:w="2312" w:type="dxa"/>
          </w:tcPr>
          <w:p w14:paraId="7196501D" w14:textId="27519E4B" w:rsidR="003B1F72" w:rsidRPr="00DE1B84" w:rsidRDefault="003B1F72" w:rsidP="003B1F72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2E8C6B49" w14:textId="715595FA" w:rsidR="003B1F72" w:rsidRPr="00DE1B84" w:rsidRDefault="003B1F72" w:rsidP="003B1F72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3B1F72" w:rsidRPr="00DE1B84" w14:paraId="076BEDD2" w14:textId="77777777" w:rsidTr="004E0835">
        <w:tc>
          <w:tcPr>
            <w:tcW w:w="4106" w:type="dxa"/>
          </w:tcPr>
          <w:p w14:paraId="63EF7250" w14:textId="6F74A40F" w:rsidR="003B1F72" w:rsidRPr="00DE1B84" w:rsidRDefault="003B1F72" w:rsidP="003B1F72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Kan hændelsen have grænseoverskridende konsekvenser (leverandør med drift i flere EU-lande)?</w:t>
            </w:r>
          </w:p>
        </w:tc>
        <w:tc>
          <w:tcPr>
            <w:tcW w:w="2312" w:type="dxa"/>
          </w:tcPr>
          <w:p w14:paraId="74015A99" w14:textId="06A5614F" w:rsidR="003B1F72" w:rsidRPr="00DE1B84" w:rsidRDefault="003B1F72" w:rsidP="003B1F72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72FDA33A" w14:textId="1B39B575" w:rsidR="003B1F72" w:rsidRPr="00DE1B84" w:rsidRDefault="003B1F72" w:rsidP="003B1F72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3B1F72" w:rsidRPr="00DE1B84" w14:paraId="4DBFA41F" w14:textId="77777777" w:rsidTr="004E0835">
        <w:tc>
          <w:tcPr>
            <w:tcW w:w="4106" w:type="dxa"/>
          </w:tcPr>
          <w:p w14:paraId="1B13A54C" w14:textId="6520F848" w:rsidR="003B1F72" w:rsidRPr="00DE1B84" w:rsidRDefault="003B1F72" w:rsidP="003B1F72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Er der behov for at aktivere manuelle nødprocedurer eller alternative leverancer?</w:t>
            </w:r>
          </w:p>
        </w:tc>
        <w:tc>
          <w:tcPr>
            <w:tcW w:w="2312" w:type="dxa"/>
          </w:tcPr>
          <w:p w14:paraId="5BB91053" w14:textId="479C5EC2" w:rsidR="003B1F72" w:rsidRPr="00DE1B84" w:rsidRDefault="003B1F72" w:rsidP="003B1F72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65B43770" w14:textId="3BC25988" w:rsidR="003B1F72" w:rsidRPr="00DE1B84" w:rsidRDefault="003B1F72" w:rsidP="003B1F72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væsentlig hændelse</w:t>
            </w:r>
          </w:p>
        </w:tc>
      </w:tr>
      <w:tr w:rsidR="003B1F72" w:rsidRPr="00DE1B84" w14:paraId="4914919D" w14:textId="77777777" w:rsidTr="004E0835">
        <w:tc>
          <w:tcPr>
            <w:tcW w:w="4106" w:type="dxa"/>
          </w:tcPr>
          <w:p w14:paraId="436BAB5B" w14:textId="711811C8" w:rsidR="003B1F72" w:rsidRPr="00DE1B84" w:rsidRDefault="003B1F72" w:rsidP="003B1F72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Er der risiko for, at hændelsen udnytter en sårbarhed, der også kan ramme andre kommuner?</w:t>
            </w:r>
          </w:p>
        </w:tc>
        <w:tc>
          <w:tcPr>
            <w:tcW w:w="2312" w:type="dxa"/>
          </w:tcPr>
          <w:p w14:paraId="14999442" w14:textId="7DF45940" w:rsidR="003B1F72" w:rsidRPr="00DE1B84" w:rsidRDefault="003B1F72" w:rsidP="003B1F72">
            <w:pPr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(Ja/Nej)</w:t>
            </w:r>
          </w:p>
        </w:tc>
        <w:tc>
          <w:tcPr>
            <w:tcW w:w="3210" w:type="dxa"/>
          </w:tcPr>
          <w:p w14:paraId="62D9656A" w14:textId="1CF70F91" w:rsidR="003B1F72" w:rsidRPr="00DE1B84" w:rsidRDefault="003B1F72" w:rsidP="003B1F72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Ja </w:t>
            </w:r>
            <w:r w:rsidRPr="00DE1B84">
              <w:rPr>
                <w:rFonts w:ascii="Aptos Body" w:eastAsia="Aptos" w:hAnsi="Aptos Body" w:cs="Arial"/>
                <w:i/>
                <w:iCs/>
                <w:color w:val="000000" w:themeColor="text1"/>
                <w:sz w:val="22"/>
                <w:szCs w:val="22"/>
                <w:lang w:val="da-DK"/>
              </w:rPr>
              <w:t>→</w:t>
            </w: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 xml:space="preserve"> Øger kritikalitet</w:t>
            </w:r>
          </w:p>
        </w:tc>
      </w:tr>
      <w:tr w:rsidR="00851BAA" w:rsidRPr="00DE1B84" w14:paraId="6E1E5792" w14:textId="77777777" w:rsidTr="004E0835">
        <w:tc>
          <w:tcPr>
            <w:tcW w:w="4106" w:type="dxa"/>
          </w:tcPr>
          <w:p w14:paraId="1CDD2A7D" w14:textId="12690356" w:rsidR="00851BAA" w:rsidRPr="00DE1B84" w:rsidRDefault="00851BAA" w:rsidP="00851BAA">
            <w:pPr>
              <w:rPr>
                <w:rFonts w:ascii="Aptos Body" w:hAnsi="Aptos Body"/>
                <w:sz w:val="22"/>
                <w:szCs w:val="22"/>
                <w:lang w:val="da-DK"/>
              </w:rPr>
            </w:pPr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Hvilke aftaler, </w:t>
            </w:r>
            <w:proofErr w:type="spellStart"/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>SLA’er</w:t>
            </w:r>
            <w:proofErr w:type="spellEnd"/>
            <w:r w:rsidRPr="00DE1B84">
              <w:rPr>
                <w:rFonts w:ascii="Aptos Body" w:hAnsi="Aptos Body"/>
                <w:sz w:val="22"/>
                <w:szCs w:val="22"/>
                <w:lang w:val="da-DK"/>
              </w:rPr>
              <w:t xml:space="preserve"> eller beredskabskrav er relevante i denne situation?</w:t>
            </w:r>
          </w:p>
        </w:tc>
        <w:tc>
          <w:tcPr>
            <w:tcW w:w="2312" w:type="dxa"/>
          </w:tcPr>
          <w:p w14:paraId="6BB3AD23" w14:textId="1C7D2E4D" w:rsidR="00851BAA" w:rsidRPr="00DE1B84" w:rsidRDefault="00851BAA" w:rsidP="00851BAA">
            <w:pPr>
              <w:rPr>
                <w:rFonts w:ascii="Aptos Body" w:eastAsia="Aptos" w:hAnsi="Aptos Body" w:cs="Sans Serif Collection"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(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highlight w:val="lightGray"/>
                <w:lang w:val="da-DK"/>
              </w:rPr>
              <w:t>indsæt beskrivelse</w:t>
            </w:r>
            <w:r w:rsidRPr="00DE1B84">
              <w:rPr>
                <w:rFonts w:ascii="Aptos Body" w:eastAsia="Aptos" w:hAnsi="Aptos Body"/>
                <w:color w:val="000000" w:themeColor="text1"/>
                <w:sz w:val="22"/>
                <w:szCs w:val="22"/>
                <w:lang w:val="da-DK"/>
              </w:rPr>
              <w:t>)</w:t>
            </w:r>
          </w:p>
        </w:tc>
        <w:tc>
          <w:tcPr>
            <w:tcW w:w="3210" w:type="dxa"/>
          </w:tcPr>
          <w:p w14:paraId="67060C9A" w14:textId="08A1810F" w:rsidR="00851BAA" w:rsidRPr="00DE1B84" w:rsidRDefault="00851BAA" w:rsidP="00851BAA">
            <w:pPr>
              <w:rPr>
                <w:rFonts w:ascii="Aptos Body" w:eastAsia="Aptos" w:hAnsi="Aptos Body"/>
                <w:i/>
                <w:iCs/>
                <w:color w:val="000000" w:themeColor="text1"/>
                <w:sz w:val="22"/>
                <w:szCs w:val="22"/>
                <w:lang w:val="da-DK"/>
              </w:rPr>
            </w:pPr>
            <w:r w:rsidRPr="00DE1B84">
              <w:rPr>
                <w:rFonts w:ascii="Aptos Body" w:eastAsia="Aptos" w:hAnsi="Aptos Body" w:cs="Sans Serif Collection"/>
                <w:i/>
                <w:iCs/>
                <w:color w:val="000000" w:themeColor="text1"/>
                <w:sz w:val="22"/>
                <w:szCs w:val="22"/>
                <w:lang w:val="da-DK"/>
              </w:rPr>
              <w:t>Understøtter leverandørstyring (under hændelseshåndtering)</w:t>
            </w:r>
          </w:p>
        </w:tc>
      </w:tr>
    </w:tbl>
    <w:p w14:paraId="386761EE" w14:textId="77777777" w:rsidR="00353485" w:rsidRPr="00661687" w:rsidRDefault="00353485" w:rsidP="003529B8">
      <w:pPr>
        <w:rPr>
          <w:rFonts w:ascii="Aptos Body" w:hAnsi="Aptos Body"/>
          <w:lang w:val="da-DK"/>
        </w:rPr>
      </w:pPr>
    </w:p>
    <w:sectPr w:rsidR="00353485" w:rsidRPr="006616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Body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5D86"/>
    <w:multiLevelType w:val="hybridMultilevel"/>
    <w:tmpl w:val="11B806FA"/>
    <w:lvl w:ilvl="0" w:tplc="252A102C">
      <w:numFmt w:val="bullet"/>
      <w:lvlText w:val="-"/>
      <w:lvlJc w:val="left"/>
      <w:pPr>
        <w:ind w:left="720" w:hanging="360"/>
      </w:pPr>
      <w:rPr>
        <w:rFonts w:ascii="Aptos Body" w:eastAsiaTheme="minorHAnsi" w:hAnsi="Aptos Body" w:cs="Sans Serif Collectio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4209"/>
    <w:multiLevelType w:val="hybridMultilevel"/>
    <w:tmpl w:val="309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09E3"/>
    <w:multiLevelType w:val="hybridMultilevel"/>
    <w:tmpl w:val="14CAF6DA"/>
    <w:lvl w:ilvl="0" w:tplc="C6C03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C1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CC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E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20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4C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2A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A5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A35446"/>
    <w:multiLevelType w:val="hybridMultilevel"/>
    <w:tmpl w:val="964414A6"/>
    <w:lvl w:ilvl="0" w:tplc="252A102C">
      <w:numFmt w:val="bullet"/>
      <w:lvlText w:val="-"/>
      <w:lvlJc w:val="left"/>
      <w:pPr>
        <w:ind w:left="720" w:hanging="360"/>
      </w:pPr>
      <w:rPr>
        <w:rFonts w:ascii="Aptos Body" w:eastAsiaTheme="minorHAnsi" w:hAnsi="Aptos Body" w:cs="Sans Serif Collectio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92F65"/>
    <w:multiLevelType w:val="hybridMultilevel"/>
    <w:tmpl w:val="F40AA7B0"/>
    <w:lvl w:ilvl="0" w:tplc="BEFA16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17CE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8B404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93227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BE9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61CAC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90894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447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196B9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9AB750D"/>
    <w:multiLevelType w:val="hybridMultilevel"/>
    <w:tmpl w:val="E02EFF5C"/>
    <w:lvl w:ilvl="0" w:tplc="252A102C">
      <w:numFmt w:val="bullet"/>
      <w:lvlText w:val="-"/>
      <w:lvlJc w:val="left"/>
      <w:pPr>
        <w:ind w:left="720" w:hanging="360"/>
      </w:pPr>
      <w:rPr>
        <w:rFonts w:ascii="Aptos Body" w:eastAsiaTheme="minorHAnsi" w:hAnsi="Aptos Body" w:cs="Sans Serif Collectio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84254"/>
    <w:multiLevelType w:val="hybridMultilevel"/>
    <w:tmpl w:val="A438963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07124"/>
    <w:multiLevelType w:val="hybridMultilevel"/>
    <w:tmpl w:val="6B74C460"/>
    <w:lvl w:ilvl="0" w:tplc="48623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4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28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A1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45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4B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0A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9509492">
    <w:abstractNumId w:val="7"/>
  </w:num>
  <w:num w:numId="2" w16cid:durableId="1593120408">
    <w:abstractNumId w:val="2"/>
  </w:num>
  <w:num w:numId="3" w16cid:durableId="957762017">
    <w:abstractNumId w:val="5"/>
  </w:num>
  <w:num w:numId="4" w16cid:durableId="1621914645">
    <w:abstractNumId w:val="1"/>
  </w:num>
  <w:num w:numId="5" w16cid:durableId="677928379">
    <w:abstractNumId w:val="0"/>
  </w:num>
  <w:num w:numId="6" w16cid:durableId="2011642067">
    <w:abstractNumId w:val="3"/>
  </w:num>
  <w:num w:numId="7" w16cid:durableId="652836422">
    <w:abstractNumId w:val="4"/>
  </w:num>
  <w:num w:numId="8" w16cid:durableId="776368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89"/>
    <w:rsid w:val="0000130C"/>
    <w:rsid w:val="00014A02"/>
    <w:rsid w:val="00023172"/>
    <w:rsid w:val="00025EEC"/>
    <w:rsid w:val="000323B8"/>
    <w:rsid w:val="00050492"/>
    <w:rsid w:val="000555C8"/>
    <w:rsid w:val="000705AA"/>
    <w:rsid w:val="000A4568"/>
    <w:rsid w:val="000B08ED"/>
    <w:rsid w:val="000D6470"/>
    <w:rsid w:val="000E64D9"/>
    <w:rsid w:val="000F062B"/>
    <w:rsid w:val="000F13B9"/>
    <w:rsid w:val="000F23E9"/>
    <w:rsid w:val="00135F87"/>
    <w:rsid w:val="00163166"/>
    <w:rsid w:val="00171A38"/>
    <w:rsid w:val="001743B2"/>
    <w:rsid w:val="00180680"/>
    <w:rsid w:val="00180D7A"/>
    <w:rsid w:val="00180DC8"/>
    <w:rsid w:val="00184252"/>
    <w:rsid w:val="0019545B"/>
    <w:rsid w:val="001A26D4"/>
    <w:rsid w:val="001B464F"/>
    <w:rsid w:val="001C684F"/>
    <w:rsid w:val="001F28E5"/>
    <w:rsid w:val="00216D80"/>
    <w:rsid w:val="00232984"/>
    <w:rsid w:val="002834C8"/>
    <w:rsid w:val="00284F7D"/>
    <w:rsid w:val="002A7431"/>
    <w:rsid w:val="002B0DDD"/>
    <w:rsid w:val="002B175D"/>
    <w:rsid w:val="002B2CDF"/>
    <w:rsid w:val="002B5E54"/>
    <w:rsid w:val="002B77F5"/>
    <w:rsid w:val="002D725A"/>
    <w:rsid w:val="002E1391"/>
    <w:rsid w:val="002E47B6"/>
    <w:rsid w:val="002E686C"/>
    <w:rsid w:val="002F3ED3"/>
    <w:rsid w:val="00301A65"/>
    <w:rsid w:val="0030361B"/>
    <w:rsid w:val="003037F5"/>
    <w:rsid w:val="0030543C"/>
    <w:rsid w:val="00331071"/>
    <w:rsid w:val="00334D79"/>
    <w:rsid w:val="00343AE4"/>
    <w:rsid w:val="003529B8"/>
    <w:rsid w:val="00353485"/>
    <w:rsid w:val="003638E8"/>
    <w:rsid w:val="00376018"/>
    <w:rsid w:val="00386F24"/>
    <w:rsid w:val="00392124"/>
    <w:rsid w:val="003966BA"/>
    <w:rsid w:val="003B0B28"/>
    <w:rsid w:val="003B1F72"/>
    <w:rsid w:val="003B4838"/>
    <w:rsid w:val="003C7CD7"/>
    <w:rsid w:val="003D33E9"/>
    <w:rsid w:val="003E0841"/>
    <w:rsid w:val="003E21C4"/>
    <w:rsid w:val="003F1890"/>
    <w:rsid w:val="003F3212"/>
    <w:rsid w:val="003F34CA"/>
    <w:rsid w:val="00400472"/>
    <w:rsid w:val="00400CC7"/>
    <w:rsid w:val="00401F94"/>
    <w:rsid w:val="00402EE1"/>
    <w:rsid w:val="004218C1"/>
    <w:rsid w:val="004225E2"/>
    <w:rsid w:val="00431B58"/>
    <w:rsid w:val="00440B83"/>
    <w:rsid w:val="00440DA1"/>
    <w:rsid w:val="00446447"/>
    <w:rsid w:val="00452C0E"/>
    <w:rsid w:val="00452F64"/>
    <w:rsid w:val="00457D92"/>
    <w:rsid w:val="0047533F"/>
    <w:rsid w:val="00486A85"/>
    <w:rsid w:val="00487B4C"/>
    <w:rsid w:val="00490279"/>
    <w:rsid w:val="0049142C"/>
    <w:rsid w:val="004B0FAF"/>
    <w:rsid w:val="004C25E8"/>
    <w:rsid w:val="004D0906"/>
    <w:rsid w:val="004E0835"/>
    <w:rsid w:val="004E19B0"/>
    <w:rsid w:val="004F3340"/>
    <w:rsid w:val="005048CA"/>
    <w:rsid w:val="00510AB3"/>
    <w:rsid w:val="00516B23"/>
    <w:rsid w:val="005204BE"/>
    <w:rsid w:val="0053251F"/>
    <w:rsid w:val="00534C1B"/>
    <w:rsid w:val="005536FA"/>
    <w:rsid w:val="00556088"/>
    <w:rsid w:val="005572A6"/>
    <w:rsid w:val="00570FCE"/>
    <w:rsid w:val="00572980"/>
    <w:rsid w:val="005B1953"/>
    <w:rsid w:val="005B2814"/>
    <w:rsid w:val="005B3C57"/>
    <w:rsid w:val="005C5FB0"/>
    <w:rsid w:val="005D25BD"/>
    <w:rsid w:val="005D51CF"/>
    <w:rsid w:val="005D5313"/>
    <w:rsid w:val="005E04CE"/>
    <w:rsid w:val="005E78C2"/>
    <w:rsid w:val="005F671C"/>
    <w:rsid w:val="006056DA"/>
    <w:rsid w:val="00607804"/>
    <w:rsid w:val="00613FA6"/>
    <w:rsid w:val="006246F5"/>
    <w:rsid w:val="00630B33"/>
    <w:rsid w:val="00636988"/>
    <w:rsid w:val="00651DDB"/>
    <w:rsid w:val="00661687"/>
    <w:rsid w:val="00666019"/>
    <w:rsid w:val="0067496B"/>
    <w:rsid w:val="00677135"/>
    <w:rsid w:val="00680C2D"/>
    <w:rsid w:val="00681D17"/>
    <w:rsid w:val="006A2EAF"/>
    <w:rsid w:val="006D3D23"/>
    <w:rsid w:val="006D58A9"/>
    <w:rsid w:val="006E2CA9"/>
    <w:rsid w:val="006F498E"/>
    <w:rsid w:val="00706C26"/>
    <w:rsid w:val="00707740"/>
    <w:rsid w:val="00711B91"/>
    <w:rsid w:val="00712F4A"/>
    <w:rsid w:val="00714BDD"/>
    <w:rsid w:val="00715FFB"/>
    <w:rsid w:val="00720E65"/>
    <w:rsid w:val="007434DF"/>
    <w:rsid w:val="007453DD"/>
    <w:rsid w:val="00766B38"/>
    <w:rsid w:val="00767817"/>
    <w:rsid w:val="00783434"/>
    <w:rsid w:val="007836AF"/>
    <w:rsid w:val="00784F3A"/>
    <w:rsid w:val="00787DCC"/>
    <w:rsid w:val="00791997"/>
    <w:rsid w:val="007A43AE"/>
    <w:rsid w:val="007A7CE5"/>
    <w:rsid w:val="007C5A51"/>
    <w:rsid w:val="007D1149"/>
    <w:rsid w:val="007D5526"/>
    <w:rsid w:val="007D68F4"/>
    <w:rsid w:val="007D6B7B"/>
    <w:rsid w:val="007E7842"/>
    <w:rsid w:val="007F2212"/>
    <w:rsid w:val="007F2D6B"/>
    <w:rsid w:val="00830BA4"/>
    <w:rsid w:val="0084726E"/>
    <w:rsid w:val="00851BAA"/>
    <w:rsid w:val="008565AD"/>
    <w:rsid w:val="008742D4"/>
    <w:rsid w:val="008804B8"/>
    <w:rsid w:val="008B2DA0"/>
    <w:rsid w:val="008C0250"/>
    <w:rsid w:val="008C636C"/>
    <w:rsid w:val="008D189E"/>
    <w:rsid w:val="008E0F43"/>
    <w:rsid w:val="00900AF7"/>
    <w:rsid w:val="00900B89"/>
    <w:rsid w:val="009047BE"/>
    <w:rsid w:val="00913466"/>
    <w:rsid w:val="00925992"/>
    <w:rsid w:val="0093038D"/>
    <w:rsid w:val="0094473B"/>
    <w:rsid w:val="00950CDF"/>
    <w:rsid w:val="00952BD2"/>
    <w:rsid w:val="009553D4"/>
    <w:rsid w:val="00964070"/>
    <w:rsid w:val="00981BF0"/>
    <w:rsid w:val="00986404"/>
    <w:rsid w:val="00996184"/>
    <w:rsid w:val="009969CB"/>
    <w:rsid w:val="009A60E5"/>
    <w:rsid w:val="009C6390"/>
    <w:rsid w:val="009D6020"/>
    <w:rsid w:val="00A3534D"/>
    <w:rsid w:val="00A4026D"/>
    <w:rsid w:val="00A509DC"/>
    <w:rsid w:val="00A559CC"/>
    <w:rsid w:val="00A56595"/>
    <w:rsid w:val="00A65A36"/>
    <w:rsid w:val="00A72C46"/>
    <w:rsid w:val="00A824CA"/>
    <w:rsid w:val="00A85BB7"/>
    <w:rsid w:val="00A94E47"/>
    <w:rsid w:val="00AD1639"/>
    <w:rsid w:val="00AD4E5F"/>
    <w:rsid w:val="00AE2C6D"/>
    <w:rsid w:val="00AE5AD7"/>
    <w:rsid w:val="00B0149C"/>
    <w:rsid w:val="00B061E9"/>
    <w:rsid w:val="00B06952"/>
    <w:rsid w:val="00B332BB"/>
    <w:rsid w:val="00B36988"/>
    <w:rsid w:val="00B4469E"/>
    <w:rsid w:val="00B5558C"/>
    <w:rsid w:val="00B701B3"/>
    <w:rsid w:val="00BA01A9"/>
    <w:rsid w:val="00BA14C5"/>
    <w:rsid w:val="00BA32A1"/>
    <w:rsid w:val="00BA43FD"/>
    <w:rsid w:val="00BB1C22"/>
    <w:rsid w:val="00BB6894"/>
    <w:rsid w:val="00BB6939"/>
    <w:rsid w:val="00BB6E79"/>
    <w:rsid w:val="00BC29CB"/>
    <w:rsid w:val="00BC35A5"/>
    <w:rsid w:val="00BD7881"/>
    <w:rsid w:val="00BE5E89"/>
    <w:rsid w:val="00BF1918"/>
    <w:rsid w:val="00BF5E67"/>
    <w:rsid w:val="00C044B2"/>
    <w:rsid w:val="00C2459B"/>
    <w:rsid w:val="00C334C8"/>
    <w:rsid w:val="00C33940"/>
    <w:rsid w:val="00C41C6C"/>
    <w:rsid w:val="00C514B8"/>
    <w:rsid w:val="00C54273"/>
    <w:rsid w:val="00C54366"/>
    <w:rsid w:val="00C87552"/>
    <w:rsid w:val="00CA0B9D"/>
    <w:rsid w:val="00CB360B"/>
    <w:rsid w:val="00CB6275"/>
    <w:rsid w:val="00CC27BD"/>
    <w:rsid w:val="00CC6A3E"/>
    <w:rsid w:val="00CC74D2"/>
    <w:rsid w:val="00D061EB"/>
    <w:rsid w:val="00D1540C"/>
    <w:rsid w:val="00D1663E"/>
    <w:rsid w:val="00D16E6A"/>
    <w:rsid w:val="00D31D13"/>
    <w:rsid w:val="00D66512"/>
    <w:rsid w:val="00D75679"/>
    <w:rsid w:val="00D77096"/>
    <w:rsid w:val="00DC4078"/>
    <w:rsid w:val="00DD0992"/>
    <w:rsid w:val="00DD29F6"/>
    <w:rsid w:val="00DD5AFA"/>
    <w:rsid w:val="00DE1B84"/>
    <w:rsid w:val="00E0672D"/>
    <w:rsid w:val="00E11877"/>
    <w:rsid w:val="00E149DF"/>
    <w:rsid w:val="00E34159"/>
    <w:rsid w:val="00E37D6A"/>
    <w:rsid w:val="00E45E60"/>
    <w:rsid w:val="00E804A3"/>
    <w:rsid w:val="00E8671D"/>
    <w:rsid w:val="00EA0172"/>
    <w:rsid w:val="00EA4BB0"/>
    <w:rsid w:val="00EB2972"/>
    <w:rsid w:val="00EB4E46"/>
    <w:rsid w:val="00EB50A3"/>
    <w:rsid w:val="00EB6104"/>
    <w:rsid w:val="00EB63B6"/>
    <w:rsid w:val="00ED70C4"/>
    <w:rsid w:val="00EE3043"/>
    <w:rsid w:val="00EE4221"/>
    <w:rsid w:val="00EF35E8"/>
    <w:rsid w:val="00EF4944"/>
    <w:rsid w:val="00EF7998"/>
    <w:rsid w:val="00F03BD6"/>
    <w:rsid w:val="00F11500"/>
    <w:rsid w:val="00F149E4"/>
    <w:rsid w:val="00F14AB5"/>
    <w:rsid w:val="00F24336"/>
    <w:rsid w:val="00F26A58"/>
    <w:rsid w:val="00F358EA"/>
    <w:rsid w:val="00F429A5"/>
    <w:rsid w:val="00F442D2"/>
    <w:rsid w:val="00F653A7"/>
    <w:rsid w:val="00F66DB0"/>
    <w:rsid w:val="00F92DBD"/>
    <w:rsid w:val="00F93D4A"/>
    <w:rsid w:val="00F97481"/>
    <w:rsid w:val="00FB228D"/>
    <w:rsid w:val="00FD3686"/>
    <w:rsid w:val="00FE4B7F"/>
    <w:rsid w:val="00FE6689"/>
    <w:rsid w:val="00FF01AB"/>
    <w:rsid w:val="00FF19D2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3804"/>
  <w15:chartTrackingRefBased/>
  <w15:docId w15:val="{AEAFC5B4-1A22-42FB-892E-A3D7F7A1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5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5E67"/>
    <w:pPr>
      <w:keepNext/>
      <w:keepLines/>
      <w:spacing w:after="0"/>
      <w:outlineLvl w:val="1"/>
    </w:pPr>
    <w:rPr>
      <w:rFonts w:eastAsiaTheme="majorEastAsia" w:cstheme="majorBidi"/>
      <w:b/>
      <w:sz w:val="2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5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5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5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5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5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5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5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5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F5E67"/>
    <w:rPr>
      <w:rFonts w:eastAsiaTheme="majorEastAsia" w:cstheme="majorBidi"/>
      <w:b/>
      <w:sz w:val="2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5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5E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5E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5E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5E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5E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5E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5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5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5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5E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5E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5E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5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5E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5E8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6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0504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5049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049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504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049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04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CMMeetingCaseOwner xmlns="fef7cbe6-8aeb-49d4-89de-fa832c84ed8e">
      <UserInfo>
        <DisplayName/>
        <AccountId xsi:nil="true"/>
        <AccountType/>
      </UserInfo>
    </CCMMeetingCaseOwner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5</CCMPageCount>
    <DocID xmlns="http://schemas.microsoft.com/sharepoint/v3">3683044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OriginalDocID xmlns="http://schemas.microsoft.com/sharepoint/v3">0</CCMOriginalDocID>
    <CCMPreviewAnnotationsTasks xmlns="http://schemas.microsoft.com/sharepoint/v3" xsi:nil="true"/>
    <CCMTemplateName xmlns="http://schemas.microsoft.com/sharepoint/v3" xsi:nil="true"/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  <CCMOnlineStatu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5" ma:contentTypeDescription="GetOrganized dokument" ma:contentTypeScope="" ma:versionID="7d781fa9038ad7b400ca0d8f571c7df0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98df5c40b4116c6e5c5c09fc15cce088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  <xsd:element ref="ns3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  <xsd:element name="CCMMeetingCaseOwner" ma:index="48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75494-39F8-4E4A-B0BA-D69C41527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26202-DC69-47C5-8BFD-C69F389EF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3560-BF86-4029-B9EE-B64CA6814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EC8EBF-BA47-4904-99A3-25C5D60337BA}"/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1455</Words>
  <Characters>9391</Characters>
  <Application>Microsoft Office Word</Application>
  <DocSecurity>0</DocSecurity>
  <Lines>330</Lines>
  <Paragraphs>197</Paragraphs>
  <ScaleCrop>false</ScaleCrop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Spørgeguide til vurdering af væsentlighed</dc:title>
  <dc:subject/>
  <dc:creator>Teia Melvej Stennevad</dc:creator>
  <cp:keywords/>
  <dc:description/>
  <cp:lastModifiedBy>Caroline Cecilie von Düring Lausen</cp:lastModifiedBy>
  <cp:revision>31</cp:revision>
  <dcterms:created xsi:type="dcterms:W3CDTF">2026-02-24T14:11:00Z</dcterms:created>
  <dcterms:modified xsi:type="dcterms:W3CDTF">2026-03-23T09:42:00Z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docLang">
    <vt:lpwstr>da</vt:lpwstr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TemplateUrl">
    <vt:lpwstr/>
  </property>
  <property fmtid="{D5CDD505-2E9C-101B-9397-08002B2CF9AE}" pid="10" name="CCMIsSharedOnOneDrive">
    <vt:bool>false</vt:bool>
  </property>
</Properties>
</file>